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0B4C9" w14:textId="77777777" w:rsidR="009A233D" w:rsidRDefault="009A233D" w:rsidP="009A233D">
      <w:pPr>
        <w:spacing w:before="240" w:after="240"/>
        <w:rPr>
          <w:rFonts w:eastAsia="Times New Roman" w:cs="Calibri"/>
          <w:b/>
          <w:bCs/>
          <w:color w:val="000000"/>
          <w:sz w:val="32"/>
          <w:szCs w:val="32"/>
          <w:lang w:eastAsia="pl-PL"/>
        </w:rPr>
        <w:sectPr w:rsidR="009A233D" w:rsidSect="00F15856">
          <w:headerReference w:type="even" r:id="rId7"/>
          <w:headerReference w:type="default" r:id="rId8"/>
          <w:headerReference w:type="first" r:id="rId9"/>
          <w:pgSz w:w="11906" w:h="16838"/>
          <w:pgMar w:top="993" w:right="1134" w:bottom="1701" w:left="1134" w:header="709" w:footer="709" w:gutter="0"/>
          <w:cols w:space="708"/>
          <w:titlePg/>
          <w:docGrid w:linePitch="360"/>
        </w:sectPr>
      </w:pPr>
      <w:bookmarkStart w:id="0" w:name="_Hlk73018783"/>
      <w:r>
        <w:rPr>
          <w:rFonts w:eastAsia="Times New Roman" w:cs="Calibri"/>
          <w:b/>
          <w:noProof/>
          <w:color w:val="000000"/>
          <w:sz w:val="32"/>
          <w:szCs w:val="32"/>
          <w:lang w:eastAsia="pl-PL"/>
        </w:rPr>
        <w:drawing>
          <wp:inline distT="0" distB="0" distL="0" distR="0" wp14:anchorId="6D807E8B" wp14:editId="75839886">
            <wp:extent cx="6121400" cy="609600"/>
            <wp:effectExtent l="0" t="0" r="0" b="0"/>
            <wp:docPr id="1" name="Obraz 31" descr="Logo PARP Grupa P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1" descr="Logo PARP Grupa PF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722E5DBA" w14:textId="702D7E34" w:rsidR="009A233D" w:rsidRPr="008614C9" w:rsidRDefault="009A233D" w:rsidP="00B05235">
      <w:pPr>
        <w:spacing w:after="0" w:line="276" w:lineRule="auto"/>
        <w:rPr>
          <w:rFonts w:cs="Calibri"/>
          <w:sz w:val="24"/>
          <w:szCs w:val="24"/>
        </w:rPr>
      </w:pPr>
    </w:p>
    <w:p w14:paraId="4998BA71" w14:textId="30A9B80F" w:rsidR="009A233D" w:rsidRDefault="009A233D" w:rsidP="00B05235">
      <w:pPr>
        <w:spacing w:line="276" w:lineRule="auto"/>
        <w:rPr>
          <w:b/>
          <w:sz w:val="34"/>
          <w:szCs w:val="34"/>
        </w:rPr>
        <w:sectPr w:rsidR="009A233D" w:rsidSect="00EE5BCB">
          <w:type w:val="continuous"/>
          <w:pgSz w:w="11906" w:h="16838"/>
          <w:pgMar w:top="1701" w:right="1134" w:bottom="1701" w:left="1134" w:header="709" w:footer="709" w:gutter="0"/>
          <w:cols w:num="2" w:space="708"/>
          <w:docGrid w:linePitch="360"/>
        </w:sectPr>
      </w:pPr>
    </w:p>
    <w:p w14:paraId="51C54367" w14:textId="1C4F7E37" w:rsidR="00276F52" w:rsidRPr="00B307EC" w:rsidRDefault="00276F52" w:rsidP="00B0523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2"/>
          <w:lang w:eastAsia="pl-PL"/>
        </w:rPr>
      </w:pPr>
      <w:r w:rsidRPr="00B307EC">
        <w:rPr>
          <w:rFonts w:eastAsia="Times New Roman" w:cstheme="minorHAnsi"/>
          <w:b/>
          <w:bCs/>
          <w:kern w:val="36"/>
          <w:sz w:val="32"/>
          <w:szCs w:val="32"/>
          <w:lang w:eastAsia="pl-PL"/>
        </w:rPr>
        <w:t>„Pracodawca Jutra” – postaw na rozwój kompetencji w swojej firmie</w:t>
      </w:r>
    </w:p>
    <w:p w14:paraId="17B79ADD" w14:textId="6E312004" w:rsidR="00276F52" w:rsidRDefault="00276F52" w:rsidP="00B307EC">
      <w:pPr>
        <w:spacing w:before="120" w:after="120" w:line="276" w:lineRule="auto"/>
        <w:rPr>
          <w:rStyle w:val="Pogrubienie"/>
          <w:rFonts w:cs="Calibri"/>
          <w:sz w:val="24"/>
          <w:szCs w:val="24"/>
        </w:rPr>
      </w:pPr>
      <w:r w:rsidRPr="00276F52">
        <w:rPr>
          <w:rFonts w:eastAsia="Times New Roman" w:cs="Calibri"/>
          <w:b/>
          <w:sz w:val="24"/>
          <w:szCs w:val="24"/>
          <w:lang w:eastAsia="pl-PL"/>
        </w:rPr>
        <w:t>Trwa 6. edycja konkursu Polskiej Agencji Rozwoju Przedsiębiorczości na najciekawsze inicjatywy z zakresu współpracy biznesu z edukacją, rozwoju pracowników i kształcenia przyszłych kadr.</w:t>
      </w:r>
      <w:r w:rsidRPr="0043256E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43256E">
        <w:rPr>
          <w:rStyle w:val="Pogrubienie"/>
          <w:rFonts w:cs="Calibri"/>
          <w:sz w:val="24"/>
          <w:szCs w:val="24"/>
        </w:rPr>
        <w:t>Aplikować można w trzech kategoriach: „Rozwój pracownika”, „Dojrzałe kompetencje” oraz „Ambasador Edukacji”.</w:t>
      </w:r>
      <w:r>
        <w:rPr>
          <w:rStyle w:val="Pogrubienie"/>
          <w:rFonts w:cs="Calibri"/>
          <w:sz w:val="24"/>
          <w:szCs w:val="24"/>
        </w:rPr>
        <w:t xml:space="preserve"> Termin składania aplikacji trwa do </w:t>
      </w:r>
      <w:r w:rsidR="00B307EC">
        <w:rPr>
          <w:rStyle w:val="Pogrubienie"/>
          <w:rFonts w:cs="Calibri"/>
          <w:sz w:val="24"/>
          <w:szCs w:val="24"/>
        </w:rPr>
        <w:t>31 stycznia</w:t>
      </w:r>
      <w:r>
        <w:rPr>
          <w:rStyle w:val="Pogrubienie"/>
          <w:rFonts w:cs="Calibri"/>
          <w:sz w:val="24"/>
          <w:szCs w:val="24"/>
        </w:rPr>
        <w:t xml:space="preserve"> 202</w:t>
      </w:r>
      <w:r w:rsidR="00B307EC">
        <w:rPr>
          <w:rStyle w:val="Pogrubienie"/>
          <w:rFonts w:cs="Calibri"/>
          <w:sz w:val="24"/>
          <w:szCs w:val="24"/>
        </w:rPr>
        <w:t>2</w:t>
      </w:r>
      <w:r>
        <w:rPr>
          <w:rStyle w:val="Pogrubienie"/>
          <w:rFonts w:cs="Calibri"/>
          <w:sz w:val="24"/>
          <w:szCs w:val="24"/>
        </w:rPr>
        <w:t xml:space="preserve"> r. Konkurs finansowany jest z Programu Wiedza Edukacja Rozwój.</w:t>
      </w:r>
    </w:p>
    <w:p w14:paraId="6E32A602" w14:textId="77777777" w:rsidR="00B307EC" w:rsidRDefault="00276F52" w:rsidP="00E63E8F">
      <w:pPr>
        <w:spacing w:before="120" w:after="120" w:line="276" w:lineRule="auto"/>
        <w:jc w:val="both"/>
        <w:rPr>
          <w:rFonts w:cs="Calibri"/>
          <w:sz w:val="24"/>
          <w:szCs w:val="24"/>
          <w:shd w:val="clear" w:color="auto" w:fill="FFFFFF"/>
        </w:rPr>
      </w:pPr>
      <w:r w:rsidRPr="00F33976">
        <w:rPr>
          <w:rFonts w:cs="Calibri"/>
          <w:sz w:val="24"/>
          <w:szCs w:val="24"/>
          <w:shd w:val="clear" w:color="auto" w:fill="FFFFFF"/>
        </w:rPr>
        <w:t xml:space="preserve">Programy rozwojowe, szkolenia to dla pracodawców nie tylko sposób na rozwój kompetencji wśród kadr, ale także droga do motywowania i budowania lojalności </w:t>
      </w:r>
      <w:r w:rsidR="00F33976" w:rsidRPr="00F33976">
        <w:rPr>
          <w:rFonts w:cs="Calibri"/>
          <w:sz w:val="24"/>
          <w:szCs w:val="24"/>
          <w:shd w:val="clear" w:color="auto" w:fill="FFFFFF"/>
        </w:rPr>
        <w:t xml:space="preserve">zatrudnionych </w:t>
      </w:r>
      <w:r w:rsidRPr="00F33976">
        <w:rPr>
          <w:rFonts w:cs="Calibri"/>
          <w:sz w:val="24"/>
          <w:szCs w:val="24"/>
          <w:shd w:val="clear" w:color="auto" w:fill="FFFFFF"/>
        </w:rPr>
        <w:t>pracowników.</w:t>
      </w:r>
      <w:r w:rsidR="00F33976">
        <w:rPr>
          <w:rFonts w:cs="Calibri"/>
          <w:sz w:val="24"/>
          <w:szCs w:val="24"/>
          <w:shd w:val="clear" w:color="auto" w:fill="FFFFFF"/>
        </w:rPr>
        <w:t xml:space="preserve"> Poprzez coaching, mentoring, a także wzajemne uczenie się w ramach zespołu rozwija się umiejętność współpracy oraz właściwej komunikacji. </w:t>
      </w:r>
    </w:p>
    <w:p w14:paraId="79BCDEF5" w14:textId="77904EE0" w:rsidR="00276F52" w:rsidRPr="0043256E" w:rsidRDefault="00276F52" w:rsidP="00E63E8F">
      <w:pPr>
        <w:spacing w:before="120" w:after="120" w:line="276" w:lineRule="auto"/>
        <w:jc w:val="both"/>
        <w:rPr>
          <w:rStyle w:val="markedcontent"/>
          <w:rFonts w:cs="Calibri"/>
          <w:b/>
          <w:sz w:val="24"/>
          <w:szCs w:val="24"/>
        </w:rPr>
      </w:pPr>
      <w:r w:rsidRPr="0070645D">
        <w:rPr>
          <w:rFonts w:eastAsia="Times New Roman" w:cs="Calibri"/>
          <w:sz w:val="24"/>
          <w:szCs w:val="24"/>
          <w:lang w:eastAsia="pl-PL"/>
        </w:rPr>
        <w:t>Program skierowany</w:t>
      </w:r>
      <w:r w:rsidRPr="0043256E">
        <w:rPr>
          <w:rFonts w:eastAsia="Times New Roman" w:cs="Calibri"/>
          <w:sz w:val="24"/>
          <w:szCs w:val="24"/>
          <w:lang w:eastAsia="pl-PL"/>
        </w:rPr>
        <w:t xml:space="preserve"> jest do</w:t>
      </w:r>
      <w:r w:rsidRPr="0070645D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3E2179">
        <w:rPr>
          <w:rStyle w:val="Pogrubienie"/>
          <w:rFonts w:cs="Calibri"/>
          <w:b w:val="0"/>
          <w:sz w:val="24"/>
          <w:szCs w:val="24"/>
        </w:rPr>
        <w:t>mikro, małych, średnich i dużych przedsiębiorstw,</w:t>
      </w:r>
      <w:r w:rsidRPr="0043256E">
        <w:rPr>
          <w:rStyle w:val="Pogrubienie"/>
          <w:rFonts w:cs="Calibri"/>
          <w:sz w:val="24"/>
          <w:szCs w:val="24"/>
        </w:rPr>
        <w:t xml:space="preserve"> </w:t>
      </w:r>
      <w:r w:rsidRPr="0043256E">
        <w:rPr>
          <w:rFonts w:cs="Calibri"/>
          <w:sz w:val="24"/>
          <w:szCs w:val="24"/>
        </w:rPr>
        <w:t>w których po 1 stycznia 2019 roku realizowano inicjatywy edukacyjne.</w:t>
      </w:r>
    </w:p>
    <w:p w14:paraId="5DC25291" w14:textId="77777777" w:rsidR="00276F52" w:rsidRPr="0070645D" w:rsidRDefault="00276F52" w:rsidP="00E63E8F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sz w:val="24"/>
          <w:szCs w:val="24"/>
          <w:lang w:eastAsia="pl-PL"/>
        </w:rPr>
      </w:pPr>
      <w:r w:rsidRPr="0070645D">
        <w:rPr>
          <w:rFonts w:eastAsia="Times New Roman" w:cs="Calibri"/>
          <w:b/>
          <w:sz w:val="24"/>
          <w:szCs w:val="24"/>
          <w:lang w:eastAsia="pl-PL"/>
        </w:rPr>
        <w:t>Kto może zostać „Pracodawcą Jutra”?</w:t>
      </w:r>
    </w:p>
    <w:p w14:paraId="02E65E5E" w14:textId="77777777" w:rsidR="00276F52" w:rsidRPr="0070645D" w:rsidRDefault="00276F52" w:rsidP="00E63E8F">
      <w:pPr>
        <w:numPr>
          <w:ilvl w:val="0"/>
          <w:numId w:val="8"/>
        </w:numPr>
        <w:spacing w:before="120" w:after="120" w:line="276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70645D">
        <w:rPr>
          <w:rFonts w:eastAsia="Times New Roman" w:cs="Calibri"/>
          <w:sz w:val="24"/>
          <w:szCs w:val="24"/>
          <w:lang w:eastAsia="pl-PL"/>
        </w:rPr>
        <w:t>Przedsiębiorstwa, które dbają o rozwój swoich pracowników i aktywnie budują kapitał ludzki w swoich firmach (stypendia, staże, praktyki).</w:t>
      </w:r>
    </w:p>
    <w:p w14:paraId="5ABEFFE2" w14:textId="77777777" w:rsidR="00276F52" w:rsidRPr="0070645D" w:rsidRDefault="00276F52" w:rsidP="00E63E8F">
      <w:pPr>
        <w:numPr>
          <w:ilvl w:val="0"/>
          <w:numId w:val="8"/>
        </w:numPr>
        <w:spacing w:before="120" w:after="120" w:line="276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70645D">
        <w:rPr>
          <w:rFonts w:eastAsia="Times New Roman" w:cs="Calibri"/>
          <w:sz w:val="24"/>
          <w:szCs w:val="24"/>
          <w:lang w:eastAsia="pl-PL"/>
        </w:rPr>
        <w:t>Firmy, które realizują inicjatywy we współpracy ze szkołami czy uczelniami, aby lepiej dopasować kompetencje przyszłych pracowników do potrzeb biznesu (kursy, dofinansowania do nauki).</w:t>
      </w:r>
    </w:p>
    <w:p w14:paraId="6C6B62BC" w14:textId="77777777" w:rsidR="00276F52" w:rsidRPr="0043256E" w:rsidRDefault="00276F52" w:rsidP="00E63E8F">
      <w:pPr>
        <w:numPr>
          <w:ilvl w:val="0"/>
          <w:numId w:val="8"/>
        </w:numPr>
        <w:spacing w:before="120" w:after="120" w:line="276" w:lineRule="auto"/>
        <w:ind w:left="714" w:hanging="357"/>
        <w:jc w:val="both"/>
        <w:rPr>
          <w:rFonts w:eastAsia="Times New Roman" w:cs="Calibri"/>
          <w:sz w:val="24"/>
          <w:szCs w:val="24"/>
          <w:lang w:eastAsia="pl-PL"/>
        </w:rPr>
      </w:pPr>
      <w:r w:rsidRPr="0070645D">
        <w:rPr>
          <w:rFonts w:eastAsia="Times New Roman" w:cs="Calibri"/>
          <w:sz w:val="24"/>
          <w:szCs w:val="24"/>
          <w:lang w:eastAsia="pl-PL"/>
        </w:rPr>
        <w:t>Organizacje, które pozyskują nowych pracowników we współpracy z uczelniami (targi edukacyjne oraz inne dobre przykłady).</w:t>
      </w:r>
    </w:p>
    <w:p w14:paraId="6EB7AAC6" w14:textId="77777777" w:rsidR="00276F52" w:rsidRPr="0043256E" w:rsidRDefault="00276F52" w:rsidP="00E63E8F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3256E">
        <w:rPr>
          <w:rFonts w:eastAsia="Times New Roman" w:cs="Calibri"/>
          <w:b/>
          <w:bCs/>
          <w:sz w:val="24"/>
          <w:szCs w:val="24"/>
          <w:lang w:eastAsia="pl-PL"/>
        </w:rPr>
        <w:t>Nowe zasady konkursu</w:t>
      </w:r>
    </w:p>
    <w:p w14:paraId="171F5E1A" w14:textId="77777777" w:rsidR="00276F52" w:rsidRPr="0043256E" w:rsidRDefault="00276F52" w:rsidP="00E63E8F">
      <w:pPr>
        <w:spacing w:before="120" w:after="12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3256E">
        <w:rPr>
          <w:rFonts w:eastAsia="Times New Roman" w:cs="Calibri"/>
          <w:sz w:val="24"/>
          <w:szCs w:val="24"/>
          <w:lang w:eastAsia="pl-PL"/>
        </w:rPr>
        <w:t>Konkurs w tym roku ma nowe zasady. Organizatorzy zdecydowali się wyłonić zwycięzców w trzech kategoriach: “Rozwój pracownika”, „Dojrzałe kompetencje” oraz „Ambasador Edukacji”. W każdej z nich zostaną wybrani dwaj laureaci. Dodatkowo swoje wyróżnienia przyznają przedstawiciele 17 sektorowych rad ds. kompetencji.</w:t>
      </w:r>
    </w:p>
    <w:p w14:paraId="2969BBC7" w14:textId="77777777" w:rsidR="00276F52" w:rsidRPr="0043256E" w:rsidRDefault="00276F52" w:rsidP="00E63E8F">
      <w:pPr>
        <w:spacing w:before="120" w:after="12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3256E">
        <w:rPr>
          <w:rFonts w:eastAsia="Times New Roman" w:cs="Calibri"/>
          <w:sz w:val="24"/>
          <w:szCs w:val="24"/>
          <w:lang w:eastAsia="pl-PL"/>
        </w:rPr>
        <w:t>W pierwszej kategorii „Rozwój pracownika” można zgłaszać projekty motywujące do rozwoju zawodowego kadry, programy podnoszące kompetencje zawodowe, szkolenia oraz inne inwestycje w poszerzanie umiejętności pracowników.</w:t>
      </w:r>
    </w:p>
    <w:p w14:paraId="58557AD6" w14:textId="77777777" w:rsidR="00276F52" w:rsidRPr="0043256E" w:rsidRDefault="00276F52" w:rsidP="00E63E8F">
      <w:pPr>
        <w:spacing w:before="120" w:after="12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3256E">
        <w:rPr>
          <w:rFonts w:eastAsia="Times New Roman" w:cs="Calibri"/>
          <w:sz w:val="24"/>
          <w:szCs w:val="24"/>
          <w:lang w:eastAsia="pl-PL"/>
        </w:rPr>
        <w:t xml:space="preserve">Kategoria „Dojrzałe kompetencje” jest przeznaczona dla przedsiębiorców, tworzących inicjatywy dla pracowników powyżej 50. roku życia. Uwzględniane będą programy mentorskie, polegające na </w:t>
      </w:r>
      <w:r w:rsidRPr="0043256E">
        <w:rPr>
          <w:rFonts w:eastAsia="Times New Roman" w:cs="Calibri"/>
          <w:sz w:val="24"/>
          <w:szCs w:val="24"/>
          <w:lang w:eastAsia="pl-PL"/>
        </w:rPr>
        <w:lastRenderedPageBreak/>
        <w:t>wykorzystaniu eksperckiej wiedzy doświadczonej kadry, wymiana doświadczeń z podwładnymi na początku kariery zawodowej oraz przedsięwzięcia mające na celu zwiększanie szans i możliwości na rynku pracy osób powyżej 50. roku życia.</w:t>
      </w:r>
    </w:p>
    <w:p w14:paraId="625650C3" w14:textId="77777777" w:rsidR="00276F52" w:rsidRPr="0043256E" w:rsidRDefault="00276F52" w:rsidP="00E63E8F">
      <w:pPr>
        <w:spacing w:before="120" w:after="12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3256E">
        <w:rPr>
          <w:rFonts w:eastAsia="Times New Roman" w:cs="Calibri"/>
          <w:sz w:val="24"/>
          <w:szCs w:val="24"/>
          <w:lang w:eastAsia="pl-PL"/>
        </w:rPr>
        <w:t>Zakres inicjatyw wchodzący w skład ostatniej kategorii „Ambasador edukacji” to wszystkie działania, które skupiają się na wspieraniu edukacji dzieci, młodzieży, studentów oraz rozwojowi kadry pracowników oświaty. Zawiera się tutaj między innymi: prowadzenie kursów i warsztatów w szkołach i na uczelniach, tworzenie lub wspieranie platform i aplikacji edukacyjnych, organizacja konkursów oraz staży, aranżowanie programów klas profilowych, przygotowywanie pomocy dydaktycznych dla nauczycieli oraz zaangażowanie na rzecz zdobywania lub rozwoju kompetencji poszukiwanych na rynku pracy.</w:t>
      </w:r>
    </w:p>
    <w:p w14:paraId="24652DB2" w14:textId="77777777" w:rsidR="00276F52" w:rsidRPr="0043256E" w:rsidRDefault="00276F52" w:rsidP="00E63E8F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3256E">
        <w:rPr>
          <w:rFonts w:eastAsia="Times New Roman" w:cs="Calibri"/>
          <w:b/>
          <w:bCs/>
          <w:sz w:val="24"/>
          <w:szCs w:val="24"/>
          <w:lang w:eastAsia="pl-PL"/>
        </w:rPr>
        <w:t>Nagrody dla zwycięzców</w:t>
      </w:r>
    </w:p>
    <w:p w14:paraId="5896CBDF" w14:textId="77777777" w:rsidR="00276F52" w:rsidRPr="0043256E" w:rsidRDefault="00276F52" w:rsidP="00E63E8F">
      <w:pPr>
        <w:spacing w:before="120" w:after="12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3256E">
        <w:rPr>
          <w:rFonts w:eastAsia="Times New Roman" w:cs="Calibri"/>
          <w:sz w:val="24"/>
          <w:szCs w:val="24"/>
          <w:lang w:eastAsia="pl-PL"/>
        </w:rPr>
        <w:t>Laureaci, wybrani przez Kapitułę Konkursu, otrzymają możliwość bezterminowego posługiwania się tytułem „Pracodawca Jutra Roku 2021” oraz korzystania z logotypu i materiałów reklamowych przez okres roku od daty przyznania nagrody. Każdy z wyłonionych zwycięzców będzie miał możliwość promowania zwycięskiej inicjatywy w ramach działań komunikacyjnych i promocyjnych zaplanowanych przez Organizatora.</w:t>
      </w:r>
    </w:p>
    <w:p w14:paraId="2C180B6C" w14:textId="175013FF" w:rsidR="00276F52" w:rsidRDefault="00276F52" w:rsidP="00E63E8F">
      <w:pPr>
        <w:spacing w:before="120" w:after="12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43256E">
        <w:rPr>
          <w:rFonts w:eastAsia="Times New Roman" w:cs="Calibri"/>
          <w:sz w:val="24"/>
          <w:szCs w:val="24"/>
          <w:lang w:eastAsia="pl-PL"/>
        </w:rPr>
        <w:t>Sektorowe Rady ds. Kompetencji przekażą dodatkowe nagrody najlepszym inicjatywom branżowym.</w:t>
      </w:r>
    </w:p>
    <w:p w14:paraId="761BD59B" w14:textId="0D00A56C" w:rsidR="00F33976" w:rsidRPr="003E2179" w:rsidRDefault="003E2179" w:rsidP="00E63E8F">
      <w:pPr>
        <w:spacing w:before="120" w:after="120" w:line="276" w:lineRule="auto"/>
        <w:jc w:val="both"/>
        <w:rPr>
          <w:rFonts w:eastAsia="Times New Roman" w:cs="Calibri"/>
          <w:i/>
          <w:sz w:val="24"/>
          <w:szCs w:val="24"/>
          <w:lang w:eastAsia="pl-PL"/>
        </w:rPr>
      </w:pPr>
      <w:r w:rsidRPr="003E2179">
        <w:rPr>
          <w:rStyle w:val="Uwydatnienie"/>
          <w:rFonts w:cs="Calibri"/>
          <w:i w:val="0"/>
          <w:sz w:val="24"/>
          <w:szCs w:val="24"/>
          <w:shd w:val="clear" w:color="auto" w:fill="FFFFFF"/>
        </w:rPr>
        <w:t>–</w:t>
      </w:r>
      <w:r>
        <w:rPr>
          <w:rStyle w:val="Uwydatnienie"/>
          <w:rFonts w:cs="Calibri"/>
          <w:i w:val="0"/>
          <w:sz w:val="24"/>
          <w:szCs w:val="24"/>
          <w:shd w:val="clear" w:color="auto" w:fill="FFFFFF"/>
        </w:rPr>
        <w:t xml:space="preserve"> </w:t>
      </w:r>
      <w:r w:rsidR="00F33976" w:rsidRPr="003E2179">
        <w:rPr>
          <w:rStyle w:val="Uwydatnienie"/>
          <w:rFonts w:cs="Calibri"/>
          <w:i w:val="0"/>
          <w:sz w:val="24"/>
          <w:szCs w:val="24"/>
          <w:shd w:val="clear" w:color="auto" w:fill="FFFFFF"/>
        </w:rPr>
        <w:t>Zgłoszenia przyjmowane są poprzez formularz, który dostępny jest na stronie PARP. Kapituła konkursowa będzie zwracać uwagę m.in. na to, czy dana inicjatywa wpisuje się w misję i DNA firmy oraz w jaki sposób przedsiębiorstwo podchodzi do rozwoju zasobów ludzkich. Ważne jest to, żeby dana inicjatywa nie była działaniem realizowanym ad hoc – komentuje</w:t>
      </w:r>
      <w:r w:rsidR="00F33976" w:rsidRPr="003E2179">
        <w:rPr>
          <w:rStyle w:val="Uwydatnienie"/>
          <w:rFonts w:cs="Calibri"/>
          <w:b/>
          <w:i w:val="0"/>
          <w:sz w:val="24"/>
          <w:szCs w:val="24"/>
          <w:shd w:val="clear" w:color="auto" w:fill="FFFFFF"/>
        </w:rPr>
        <w:t xml:space="preserve"> Agnieszka Józefowicz-Krakowiak</w:t>
      </w:r>
      <w:r w:rsidR="00F33976" w:rsidRPr="003E2179">
        <w:rPr>
          <w:rStyle w:val="Uwydatnienie"/>
          <w:rFonts w:cs="Calibri"/>
          <w:i w:val="0"/>
          <w:sz w:val="24"/>
          <w:szCs w:val="24"/>
          <w:shd w:val="clear" w:color="auto" w:fill="FFFFFF"/>
        </w:rPr>
        <w:t>, PARP.</w:t>
      </w:r>
    </w:p>
    <w:p w14:paraId="317AE6CE" w14:textId="172F0B9F" w:rsidR="00276F52" w:rsidRPr="0043256E" w:rsidRDefault="00F47BB1" w:rsidP="00E63E8F">
      <w:pPr>
        <w:spacing w:before="120" w:after="12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hyperlink r:id="rId11" w:history="1">
        <w:r w:rsidR="00276F52" w:rsidRPr="003E2179">
          <w:rPr>
            <w:rStyle w:val="Hipercze"/>
            <w:rFonts w:eastAsia="Times New Roman" w:cs="Calibri"/>
            <w:b/>
            <w:bCs/>
            <w:sz w:val="24"/>
            <w:szCs w:val="24"/>
            <w:lang w:eastAsia="pl-PL"/>
          </w:rPr>
          <w:t>Więcej informacji o konkursie „Pracodawca Jutra” można znaleźć n</w:t>
        </w:r>
        <w:r w:rsidR="003E2179" w:rsidRPr="003E2179">
          <w:rPr>
            <w:rStyle w:val="Hipercze"/>
            <w:rFonts w:eastAsia="Times New Roman" w:cs="Calibri"/>
            <w:b/>
            <w:bCs/>
            <w:sz w:val="24"/>
            <w:szCs w:val="24"/>
            <w:lang w:eastAsia="pl-PL"/>
          </w:rPr>
          <w:t>a stronie.</w:t>
        </w:r>
      </w:hyperlink>
    </w:p>
    <w:p w14:paraId="52F54BFE" w14:textId="77777777" w:rsidR="00276F52" w:rsidRPr="0043256E" w:rsidRDefault="00276F52" w:rsidP="00E63E8F">
      <w:pPr>
        <w:spacing w:before="120" w:after="120" w:line="276" w:lineRule="auto"/>
        <w:jc w:val="both"/>
        <w:rPr>
          <w:rFonts w:eastAsia="Times New Roman" w:cs="Calibri"/>
          <w:sz w:val="24"/>
          <w:szCs w:val="24"/>
          <w:lang w:eastAsia="pl-PL"/>
        </w:rPr>
      </w:pPr>
      <w:r w:rsidRPr="0070645D">
        <w:rPr>
          <w:rFonts w:eastAsia="Times New Roman" w:cs="Calibri"/>
          <w:sz w:val="24"/>
          <w:szCs w:val="24"/>
          <w:lang w:eastAsia="pl-PL"/>
        </w:rPr>
        <w:t>Patronat nad programem obj</w:t>
      </w:r>
      <w:r w:rsidRPr="0043256E">
        <w:rPr>
          <w:rFonts w:eastAsia="Times New Roman" w:cs="Calibri"/>
          <w:sz w:val="24"/>
          <w:szCs w:val="24"/>
          <w:lang w:eastAsia="pl-PL"/>
        </w:rPr>
        <w:t xml:space="preserve">ęło Ministerstwo Rozwoju i Technologii oraz Ministerstwo Edukacji i Nauki. </w:t>
      </w:r>
    </w:p>
    <w:p w14:paraId="27714357" w14:textId="77777777" w:rsidR="00276F52" w:rsidRDefault="00276F52" w:rsidP="00276F52">
      <w:r>
        <w:rPr>
          <w:rFonts w:cs="Calibri"/>
          <w:noProof/>
          <w:color w:val="000000"/>
          <w:lang w:eastAsia="pl-PL"/>
        </w:rPr>
        <w:drawing>
          <wp:inline distT="0" distB="0" distL="0" distR="0" wp14:anchorId="3F3121F1" wp14:editId="2D77878D">
            <wp:extent cx="1219200" cy="12192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9040A" w14:textId="1DFCB34A" w:rsidR="00CD1371" w:rsidRPr="00CD1371" w:rsidRDefault="00276F52" w:rsidP="008E4F58">
      <w:pPr>
        <w:spacing w:before="600" w:after="600" w:line="276" w:lineRule="auto"/>
        <w:jc w:val="center"/>
        <w:rPr>
          <w:rFonts w:asciiTheme="majorHAnsi" w:hAnsiTheme="majorHAnsi" w:cs="Calibri"/>
          <w:color w:val="0563C1"/>
          <w:sz w:val="24"/>
          <w:szCs w:val="24"/>
          <w:u w:val="single"/>
        </w:rPr>
      </w:pPr>
      <w:r>
        <w:rPr>
          <w:noProof/>
          <w:lang w:eastAsia="pl-PL"/>
        </w:rPr>
        <w:drawing>
          <wp:inline distT="0" distB="0" distL="0" distR="0" wp14:anchorId="36492E3B" wp14:editId="25FF3E18">
            <wp:extent cx="6120130" cy="462245"/>
            <wp:effectExtent l="0" t="0" r="0" b="0"/>
            <wp:docPr id="8" name="Obraz 8" descr="Ciąg Logotypów: Fundusze Europejskie Wiedza Edukacja Rozwój, Rzeczpospolita Polska, PARP Grupa PFR, Unia Europejska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Logotypów: Fundusze Europejskie Wiedza Edukacja Rozwój, Rzeczpospolita Polska, PARP Grupa PFR, Unia Europejska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1371" w:rsidRPr="00CD1371" w:rsidSect="00F756DA">
      <w:type w:val="continuous"/>
      <w:pgSz w:w="11906" w:h="16838"/>
      <w:pgMar w:top="170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7CB8F" w14:textId="77777777" w:rsidR="00F47BB1" w:rsidRDefault="00F47BB1">
      <w:pPr>
        <w:spacing w:after="0" w:line="240" w:lineRule="auto"/>
      </w:pPr>
      <w:r>
        <w:separator/>
      </w:r>
    </w:p>
  </w:endnote>
  <w:endnote w:type="continuationSeparator" w:id="0">
    <w:p w14:paraId="6E9DD547" w14:textId="77777777" w:rsidR="00F47BB1" w:rsidRDefault="00F47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7FB3" w14:textId="77777777" w:rsidR="00F47BB1" w:rsidRDefault="00F47BB1">
      <w:pPr>
        <w:spacing w:after="0" w:line="240" w:lineRule="auto"/>
      </w:pPr>
      <w:r>
        <w:separator/>
      </w:r>
    </w:p>
  </w:footnote>
  <w:footnote w:type="continuationSeparator" w:id="0">
    <w:p w14:paraId="4B411031" w14:textId="77777777" w:rsidR="00F47BB1" w:rsidRDefault="00F47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F3A99" w14:textId="038A28FD" w:rsidR="007C1744" w:rsidRDefault="002325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43F28DD" wp14:editId="04FD469A">
          <wp:simplePos x="0" y="0"/>
          <wp:positionH relativeFrom="column">
            <wp:posOffset>-701040</wp:posOffset>
          </wp:positionH>
          <wp:positionV relativeFrom="paragraph">
            <wp:posOffset>-434975</wp:posOffset>
          </wp:positionV>
          <wp:extent cx="7537450" cy="9567545"/>
          <wp:effectExtent l="0" t="0" r="635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956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EB6DE" w14:textId="298256E1" w:rsidR="007C1744" w:rsidRDefault="002325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60F74D0" wp14:editId="65E8A803">
          <wp:simplePos x="0" y="0"/>
          <wp:positionH relativeFrom="margin">
            <wp:align>center</wp:align>
          </wp:positionH>
          <wp:positionV relativeFrom="paragraph">
            <wp:posOffset>-452755</wp:posOffset>
          </wp:positionV>
          <wp:extent cx="7115175" cy="9566910"/>
          <wp:effectExtent l="0" t="0" r="9525" b="0"/>
          <wp:wrapNone/>
          <wp:docPr id="7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5175" cy="956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0B60" w14:textId="0B824646" w:rsidR="007C1744" w:rsidRDefault="002325E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A0110D3" wp14:editId="38D2D6AC">
          <wp:simplePos x="0" y="0"/>
          <wp:positionH relativeFrom="column">
            <wp:posOffset>-713740</wp:posOffset>
          </wp:positionH>
          <wp:positionV relativeFrom="paragraph">
            <wp:posOffset>-444500</wp:posOffset>
          </wp:positionV>
          <wp:extent cx="7542530" cy="9573895"/>
          <wp:effectExtent l="0" t="0" r="1270" b="8255"/>
          <wp:wrapNone/>
          <wp:docPr id="9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2530" cy="957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7C6D"/>
    <w:multiLevelType w:val="multilevel"/>
    <w:tmpl w:val="835C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7E53FA"/>
    <w:multiLevelType w:val="hybridMultilevel"/>
    <w:tmpl w:val="B82E6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C38C5"/>
    <w:multiLevelType w:val="hybridMultilevel"/>
    <w:tmpl w:val="ADA40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3489B"/>
    <w:multiLevelType w:val="hybridMultilevel"/>
    <w:tmpl w:val="FAE48DC4"/>
    <w:lvl w:ilvl="0" w:tplc="1E68F7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1432E75"/>
    <w:multiLevelType w:val="hybridMultilevel"/>
    <w:tmpl w:val="01FA3EA6"/>
    <w:lvl w:ilvl="0" w:tplc="BB60E5FC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577F5C2C"/>
    <w:multiLevelType w:val="hybridMultilevel"/>
    <w:tmpl w:val="A036A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C61E68"/>
    <w:multiLevelType w:val="hybridMultilevel"/>
    <w:tmpl w:val="69844CF0"/>
    <w:lvl w:ilvl="0" w:tplc="BB60E5FC">
      <w:start w:val="1"/>
      <w:numFmt w:val="lowerLetter"/>
      <w:lvlText w:val="%1)"/>
      <w:lvlJc w:val="left"/>
      <w:pPr>
        <w:ind w:left="1560" w:hanging="360"/>
      </w:pPr>
      <w:rPr>
        <w:rFonts w:hint="default"/>
        <w:b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 w15:restartNumberingAfterBreak="0">
    <w:nsid w:val="72C00B5F"/>
    <w:multiLevelType w:val="hybridMultilevel"/>
    <w:tmpl w:val="ECEA6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33D"/>
    <w:rsid w:val="00081C97"/>
    <w:rsid w:val="00096144"/>
    <w:rsid w:val="000B4D3B"/>
    <w:rsid w:val="000C172A"/>
    <w:rsid w:val="0010620A"/>
    <w:rsid w:val="0012487A"/>
    <w:rsid w:val="00155BAB"/>
    <w:rsid w:val="0016526B"/>
    <w:rsid w:val="001C3206"/>
    <w:rsid w:val="001D3DA7"/>
    <w:rsid w:val="002212A1"/>
    <w:rsid w:val="0023061E"/>
    <w:rsid w:val="002325E3"/>
    <w:rsid w:val="002331C4"/>
    <w:rsid w:val="002379B9"/>
    <w:rsid w:val="00276F52"/>
    <w:rsid w:val="00291E8B"/>
    <w:rsid w:val="0029503E"/>
    <w:rsid w:val="0032194C"/>
    <w:rsid w:val="0032710E"/>
    <w:rsid w:val="00336F70"/>
    <w:rsid w:val="00343AAD"/>
    <w:rsid w:val="00384B85"/>
    <w:rsid w:val="00385BED"/>
    <w:rsid w:val="003970E6"/>
    <w:rsid w:val="003A40C4"/>
    <w:rsid w:val="003A43D7"/>
    <w:rsid w:val="003A65B1"/>
    <w:rsid w:val="003B24B1"/>
    <w:rsid w:val="003B635D"/>
    <w:rsid w:val="003E2179"/>
    <w:rsid w:val="00484CE7"/>
    <w:rsid w:val="004850BD"/>
    <w:rsid w:val="004A5A88"/>
    <w:rsid w:val="004B10E2"/>
    <w:rsid w:val="004B495F"/>
    <w:rsid w:val="004E185E"/>
    <w:rsid w:val="004F4A11"/>
    <w:rsid w:val="0051766E"/>
    <w:rsid w:val="00525237"/>
    <w:rsid w:val="00544A66"/>
    <w:rsid w:val="0054551D"/>
    <w:rsid w:val="00556688"/>
    <w:rsid w:val="00571B2A"/>
    <w:rsid w:val="005801BA"/>
    <w:rsid w:val="00583525"/>
    <w:rsid w:val="00597E74"/>
    <w:rsid w:val="005F1E4D"/>
    <w:rsid w:val="00600C38"/>
    <w:rsid w:val="0060342B"/>
    <w:rsid w:val="00627AE2"/>
    <w:rsid w:val="00631E77"/>
    <w:rsid w:val="006764EB"/>
    <w:rsid w:val="006C5EE8"/>
    <w:rsid w:val="006C79A1"/>
    <w:rsid w:val="006D7547"/>
    <w:rsid w:val="00736FD9"/>
    <w:rsid w:val="00793D05"/>
    <w:rsid w:val="007A1F82"/>
    <w:rsid w:val="007D7EB1"/>
    <w:rsid w:val="007E435E"/>
    <w:rsid w:val="00870DF3"/>
    <w:rsid w:val="00891221"/>
    <w:rsid w:val="008A3370"/>
    <w:rsid w:val="008A4AF3"/>
    <w:rsid w:val="008C3396"/>
    <w:rsid w:val="008E4F58"/>
    <w:rsid w:val="008F174A"/>
    <w:rsid w:val="008F6A46"/>
    <w:rsid w:val="0091262D"/>
    <w:rsid w:val="00915325"/>
    <w:rsid w:val="00925945"/>
    <w:rsid w:val="00952C7B"/>
    <w:rsid w:val="00977D61"/>
    <w:rsid w:val="00984E32"/>
    <w:rsid w:val="00990716"/>
    <w:rsid w:val="009968B5"/>
    <w:rsid w:val="009A233D"/>
    <w:rsid w:val="00A03989"/>
    <w:rsid w:val="00A62B86"/>
    <w:rsid w:val="00A749B7"/>
    <w:rsid w:val="00A80513"/>
    <w:rsid w:val="00A870E3"/>
    <w:rsid w:val="00AC65CF"/>
    <w:rsid w:val="00AD6E46"/>
    <w:rsid w:val="00B05235"/>
    <w:rsid w:val="00B05769"/>
    <w:rsid w:val="00B307EC"/>
    <w:rsid w:val="00B50B4D"/>
    <w:rsid w:val="00B717D1"/>
    <w:rsid w:val="00B77154"/>
    <w:rsid w:val="00CD1371"/>
    <w:rsid w:val="00D0763E"/>
    <w:rsid w:val="00D11E5A"/>
    <w:rsid w:val="00D12941"/>
    <w:rsid w:val="00D570F4"/>
    <w:rsid w:val="00D612C4"/>
    <w:rsid w:val="00D72A72"/>
    <w:rsid w:val="00D80723"/>
    <w:rsid w:val="00D96232"/>
    <w:rsid w:val="00DF4A4C"/>
    <w:rsid w:val="00E14005"/>
    <w:rsid w:val="00E1790B"/>
    <w:rsid w:val="00E33B09"/>
    <w:rsid w:val="00E50DA2"/>
    <w:rsid w:val="00E63E8F"/>
    <w:rsid w:val="00E6417C"/>
    <w:rsid w:val="00E745B4"/>
    <w:rsid w:val="00EA06C5"/>
    <w:rsid w:val="00EC5AF8"/>
    <w:rsid w:val="00EF5A48"/>
    <w:rsid w:val="00F21983"/>
    <w:rsid w:val="00F27F6E"/>
    <w:rsid w:val="00F33976"/>
    <w:rsid w:val="00F37FE3"/>
    <w:rsid w:val="00F47BB1"/>
    <w:rsid w:val="00F76A54"/>
    <w:rsid w:val="00F80351"/>
    <w:rsid w:val="00F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F06D9B"/>
  <w14:defaultImageDpi w14:val="300"/>
  <w15:docId w15:val="{AF6FEF62-3B17-7541-9278-93ACC608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33D"/>
    <w:pPr>
      <w:spacing w:after="160" w:line="259" w:lineRule="auto"/>
    </w:pPr>
    <w:rPr>
      <w:rFonts w:ascii="Calibri" w:eastAsia="Calibri" w:hAnsi="Calibri" w:cs="Times New Roman"/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7F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A233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2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233D"/>
    <w:rPr>
      <w:rFonts w:ascii="Calibri" w:eastAsia="Calibri" w:hAnsi="Calibri" w:cs="Times New Roman"/>
      <w:sz w:val="22"/>
      <w:szCs w:val="22"/>
      <w:lang w:val="pl-PL" w:eastAsia="en-US"/>
    </w:rPr>
  </w:style>
  <w:style w:type="paragraph" w:styleId="NormalnyWeb">
    <w:name w:val="Normal (Web)"/>
    <w:basedOn w:val="Normalny"/>
    <w:uiPriority w:val="99"/>
    <w:unhideWhenUsed/>
    <w:qFormat/>
    <w:rsid w:val="009A23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33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33D"/>
    <w:rPr>
      <w:rFonts w:ascii="Lucida Grande CE" w:eastAsia="Calibri" w:hAnsi="Lucida Grande CE" w:cs="Lucida Grande CE"/>
      <w:sz w:val="18"/>
      <w:szCs w:val="18"/>
      <w:lang w:val="pl-PL"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096144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1C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1C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1C97"/>
    <w:rPr>
      <w:rFonts w:ascii="Calibri" w:eastAsia="Calibri" w:hAnsi="Calibri" w:cs="Times New Roman"/>
      <w:sz w:val="20"/>
      <w:szCs w:val="20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1C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1C97"/>
    <w:rPr>
      <w:rFonts w:ascii="Calibri" w:eastAsia="Calibri" w:hAnsi="Calibri" w:cs="Times New Roman"/>
      <w:b/>
      <w:bCs/>
      <w:sz w:val="20"/>
      <w:szCs w:val="20"/>
      <w:lang w:val="pl-PL" w:eastAsia="en-US"/>
    </w:rPr>
  </w:style>
  <w:style w:type="paragraph" w:styleId="Akapitzlist">
    <w:name w:val="List Paragraph"/>
    <w:basedOn w:val="Normalny"/>
    <w:uiPriority w:val="34"/>
    <w:qFormat/>
    <w:rsid w:val="00D96232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7F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27F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140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 w:eastAsia="en-US"/>
    </w:rPr>
  </w:style>
  <w:style w:type="character" w:styleId="Pogrubienie">
    <w:name w:val="Strong"/>
    <w:basedOn w:val="Domylnaczcionkaakapitu"/>
    <w:uiPriority w:val="22"/>
    <w:qFormat/>
    <w:rsid w:val="00276F52"/>
    <w:rPr>
      <w:b/>
      <w:bCs/>
    </w:rPr>
  </w:style>
  <w:style w:type="character" w:customStyle="1" w:styleId="markedcontent">
    <w:name w:val="markedcontent"/>
    <w:basedOn w:val="Domylnaczcionkaakapitu"/>
    <w:rsid w:val="00276F52"/>
  </w:style>
  <w:style w:type="character" w:styleId="Uwydatnienie">
    <w:name w:val="Emphasis"/>
    <w:basedOn w:val="Domylnaczcionkaakapitu"/>
    <w:uiPriority w:val="20"/>
    <w:qFormat/>
    <w:rsid w:val="00276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arp.gov.pl/component/site/site/pracodawca-jutr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6 grudnia trwa nabór do XXIV edycji konkursu Polski Produkt Przyszłości</vt:lpstr>
    </vt:vector>
  </TitlesOfParts>
  <Manager/>
  <Company/>
  <LinksUpToDate>false</LinksUpToDate>
  <CharactersWithSpaces>4138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6 grudnia trwa nabór do XXIV edycji konkursu Polski Produkt Przyszłości</dc:title>
  <dc:subject>Do 6 grudnia trwa nabór do XXIV edycji konkursu Polski Produkt Przyszłościiał w konkursie PARP „Granty na Eurogranty”. Do zdobycie nawet 280 tys. zł. dofinansowania</dc:subject>
  <dc:creator>Magdalena Mikulska</dc:creator>
  <cp:keywords/>
  <dc:description/>
  <cp:lastModifiedBy>Katarzyna Kownacka</cp:lastModifiedBy>
  <cp:revision>2</cp:revision>
  <cp:lastPrinted>2022-01-05T13:02:00Z</cp:lastPrinted>
  <dcterms:created xsi:type="dcterms:W3CDTF">2022-01-20T10:29:00Z</dcterms:created>
  <dcterms:modified xsi:type="dcterms:W3CDTF">2022-01-20T10:29:00Z</dcterms:modified>
  <cp:category/>
</cp:coreProperties>
</file>