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CD2C5" w14:textId="220D57C5" w:rsidR="000E2F7D" w:rsidRDefault="000E2F7D" w:rsidP="000E2F7D">
      <w:pPr>
        <w:spacing w:after="0" w:line="240" w:lineRule="auto"/>
        <w:jc w:val="center"/>
        <w:rPr>
          <w:rFonts w:eastAsia="Times New Roman"/>
          <w:sz w:val="20"/>
          <w:szCs w:val="20"/>
        </w:rPr>
      </w:pPr>
      <w:r>
        <w:rPr>
          <w:noProof/>
          <w:lang w:eastAsia="pl-PL"/>
        </w:rPr>
        <w:drawing>
          <wp:inline distT="0" distB="0" distL="0" distR="0" wp14:anchorId="6188CDD2" wp14:editId="1068DDB0">
            <wp:extent cx="5753100" cy="80962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11" t="-78" r="-11" b="-78"/>
                    <a:stretch>
                      <a:fillRect/>
                    </a:stretch>
                  </pic:blipFill>
                  <pic:spPr bwMode="auto">
                    <a:xfrm>
                      <a:off x="0" y="0"/>
                      <a:ext cx="5753100" cy="809625"/>
                    </a:xfrm>
                    <a:prstGeom prst="rect">
                      <a:avLst/>
                    </a:prstGeom>
                    <a:solidFill>
                      <a:srgbClr val="FFFFFF"/>
                    </a:solidFill>
                    <a:ln>
                      <a:noFill/>
                    </a:ln>
                  </pic:spPr>
                </pic:pic>
              </a:graphicData>
            </a:graphic>
          </wp:inline>
        </w:drawing>
      </w:r>
    </w:p>
    <w:p w14:paraId="163EB579" w14:textId="77777777" w:rsidR="000E2F7D" w:rsidRDefault="000E2F7D" w:rsidP="000E2F7D">
      <w:pPr>
        <w:keepNext/>
        <w:spacing w:after="0" w:line="240" w:lineRule="auto"/>
        <w:ind w:firstLine="442"/>
        <w:jc w:val="right"/>
      </w:pPr>
      <w:r>
        <w:rPr>
          <w:rFonts w:eastAsia="Times New Roman"/>
          <w:sz w:val="20"/>
          <w:szCs w:val="20"/>
        </w:rPr>
        <w:t>Załącznik nr 13 do Regulaminu</w:t>
      </w:r>
    </w:p>
    <w:p w14:paraId="7EC497A1" w14:textId="77777777" w:rsidR="000E2F7D" w:rsidRDefault="000E2F7D" w:rsidP="000E2F7D">
      <w:pPr>
        <w:spacing w:after="0" w:line="240" w:lineRule="auto"/>
        <w:jc w:val="center"/>
        <w:rPr>
          <w:rFonts w:eastAsia="Times New Roman"/>
          <w:b/>
          <w:sz w:val="20"/>
          <w:szCs w:val="20"/>
        </w:rPr>
      </w:pPr>
    </w:p>
    <w:p w14:paraId="56F9EFED" w14:textId="77777777" w:rsidR="000E2F7D" w:rsidRDefault="000E2F7D" w:rsidP="000E2F7D">
      <w:pPr>
        <w:spacing w:after="0" w:line="240" w:lineRule="auto"/>
        <w:jc w:val="center"/>
      </w:pPr>
      <w:r>
        <w:rPr>
          <w:rFonts w:eastAsia="Times New Roman"/>
          <w:b/>
        </w:rPr>
        <w:t>POROZUMIENIE O WSPÓŁPRACY NR ……./2021</w:t>
      </w:r>
    </w:p>
    <w:p w14:paraId="4D763B6D" w14:textId="77777777" w:rsidR="000E2F7D" w:rsidRDefault="000E2F7D" w:rsidP="000E2F7D">
      <w:pPr>
        <w:spacing w:after="0" w:line="240" w:lineRule="auto"/>
        <w:jc w:val="center"/>
      </w:pPr>
      <w:r>
        <w:rPr>
          <w:rFonts w:eastAsia="Times New Roman"/>
          <w:bCs/>
        </w:rPr>
        <w:t xml:space="preserve">w ramach </w:t>
      </w:r>
      <w:r>
        <w:rPr>
          <w:rFonts w:eastAsia="Times New Roman"/>
          <w:bCs/>
        </w:rPr>
        <w:br/>
        <w:t>Regionalnego Programu Operacyjnego Województwa Opolskiego na lata 2014-2020</w:t>
      </w:r>
    </w:p>
    <w:p w14:paraId="4BD2A6C1" w14:textId="77777777" w:rsidR="000E2F7D" w:rsidRDefault="000E2F7D" w:rsidP="000E2F7D">
      <w:pPr>
        <w:spacing w:after="0" w:line="240" w:lineRule="auto"/>
        <w:jc w:val="center"/>
      </w:pPr>
      <w:r>
        <w:rPr>
          <w:rFonts w:eastAsia="Times New Roman"/>
          <w:bCs/>
        </w:rPr>
        <w:t>Oś priorytetowa II –</w:t>
      </w:r>
      <w:r>
        <w:rPr>
          <w:rFonts w:eastAsia="Times New Roman"/>
          <w:bCs/>
          <w:i/>
        </w:rPr>
        <w:t xml:space="preserve"> Konkurencyjna gospodarka</w:t>
      </w:r>
    </w:p>
    <w:p w14:paraId="6B541200" w14:textId="77777777" w:rsidR="000E2F7D" w:rsidRDefault="000E2F7D" w:rsidP="000E2F7D">
      <w:pPr>
        <w:spacing w:after="0" w:line="240" w:lineRule="auto"/>
        <w:jc w:val="center"/>
      </w:pPr>
      <w:r>
        <w:rPr>
          <w:rFonts w:eastAsia="Times New Roman"/>
          <w:bCs/>
        </w:rPr>
        <w:t xml:space="preserve">Działanie 2.3 </w:t>
      </w:r>
      <w:r>
        <w:t>Wzmocnienie otoczenia biznesu – wybór operatora</w:t>
      </w:r>
    </w:p>
    <w:p w14:paraId="13438CAE" w14:textId="77777777" w:rsidR="000E2F7D" w:rsidRDefault="000E2F7D" w:rsidP="000E2F7D">
      <w:pPr>
        <w:spacing w:after="0" w:line="240" w:lineRule="auto"/>
        <w:jc w:val="center"/>
      </w:pPr>
      <w:r>
        <w:rPr>
          <w:rFonts w:eastAsia="Times New Roman"/>
          <w:b/>
          <w:bCs/>
        </w:rPr>
        <w:t>Projekt pn.: „Operator voucherów zwiększających konkurencyjność MSP działających w obszarze inteligentnych specjalizacji na terenie województwa opolskiego”</w:t>
      </w:r>
    </w:p>
    <w:p w14:paraId="21789A4C" w14:textId="77777777" w:rsidR="000E2F7D" w:rsidRDefault="000E2F7D" w:rsidP="000E2F7D">
      <w:pPr>
        <w:spacing w:after="0" w:line="240" w:lineRule="auto"/>
        <w:jc w:val="center"/>
      </w:pPr>
      <w:r>
        <w:rPr>
          <w:rFonts w:eastAsia="Times New Roman"/>
          <w:b/>
          <w:bCs/>
        </w:rPr>
        <w:t>współfinansowany ze środków Europejskiego Funduszu Rozwoju Regionalnego</w:t>
      </w:r>
    </w:p>
    <w:p w14:paraId="2AC41A18" w14:textId="77777777" w:rsidR="000E2F7D" w:rsidRDefault="000E2F7D" w:rsidP="000E2F7D">
      <w:pPr>
        <w:spacing w:after="0" w:line="240" w:lineRule="auto"/>
        <w:jc w:val="both"/>
        <w:rPr>
          <w:rFonts w:eastAsia="Times New Roman"/>
          <w:b/>
          <w:bCs/>
          <w:kern w:val="1"/>
        </w:rPr>
      </w:pPr>
    </w:p>
    <w:p w14:paraId="4029E54F" w14:textId="77777777" w:rsidR="000E2F7D" w:rsidRDefault="000E2F7D" w:rsidP="000E2F7D">
      <w:pPr>
        <w:spacing w:after="0" w:line="240" w:lineRule="auto"/>
        <w:jc w:val="both"/>
      </w:pPr>
      <w:r>
        <w:rPr>
          <w:rFonts w:eastAsia="Times New Roman"/>
          <w:kern w:val="1"/>
        </w:rPr>
        <w:t>zawarte w Opolu w dniu .........................................</w:t>
      </w:r>
    </w:p>
    <w:p w14:paraId="224ED254" w14:textId="77777777" w:rsidR="000E2F7D" w:rsidRDefault="000E2F7D" w:rsidP="000E2F7D">
      <w:pPr>
        <w:spacing w:after="0" w:line="240" w:lineRule="auto"/>
        <w:jc w:val="both"/>
      </w:pPr>
      <w:r>
        <w:rPr>
          <w:rFonts w:eastAsia="Times New Roman"/>
          <w:kern w:val="1"/>
        </w:rPr>
        <w:t>pomiędzy:</w:t>
      </w:r>
    </w:p>
    <w:p w14:paraId="44E7B70F" w14:textId="77777777" w:rsidR="000E2F7D" w:rsidRDefault="000E2F7D" w:rsidP="000E2F7D">
      <w:pPr>
        <w:spacing w:after="0" w:line="240" w:lineRule="auto"/>
        <w:jc w:val="both"/>
      </w:pPr>
      <w:r>
        <w:t xml:space="preserve">Województwem Opolskim reprezentowanym przez Zastępcę Dyrektora Opolskiego Centrum Rozwoju Gospodarki w osobie </w:t>
      </w:r>
      <w:r>
        <w:rPr>
          <w:b/>
          <w:bCs/>
        </w:rPr>
        <w:t>Pana …………………………………</w:t>
      </w:r>
      <w:r>
        <w:t xml:space="preserve"> na podstawie pełnomocnictwa nadanego uchwałą Zarządu Województwa Opolskiego nr </w:t>
      </w:r>
      <w:r>
        <w:rPr>
          <w:b/>
          <w:bCs/>
        </w:rPr>
        <w:t>………………………….z dnia ………………………………..</w:t>
      </w:r>
      <w:r>
        <w:t>, zwanym dalej „Operatorem”,</w:t>
      </w:r>
    </w:p>
    <w:p w14:paraId="08668C6D" w14:textId="77777777" w:rsidR="000E2F7D" w:rsidRDefault="000E2F7D" w:rsidP="000E2F7D">
      <w:pPr>
        <w:spacing w:after="0" w:line="240" w:lineRule="auto"/>
        <w:jc w:val="both"/>
      </w:pPr>
      <w:r>
        <w:rPr>
          <w:rFonts w:eastAsia="Times New Roman"/>
        </w:rPr>
        <w:t>a</w:t>
      </w:r>
    </w:p>
    <w:p w14:paraId="6125DA22" w14:textId="77777777" w:rsidR="000E2F7D" w:rsidRDefault="000E2F7D" w:rsidP="000E2F7D">
      <w:pPr>
        <w:spacing w:after="0" w:line="240" w:lineRule="auto"/>
        <w:jc w:val="both"/>
      </w:pPr>
      <w:r>
        <w:rPr>
          <w:rFonts w:eastAsia="Times New Roman"/>
        </w:rPr>
        <w:t xml:space="preserve">……………………………………………………., ul. ………………………………, ………………………….(kod + miejscowość) NIP: ………………………………, REGON: </w:t>
      </w:r>
      <w:r>
        <w:t>…………………………</w:t>
      </w:r>
    </w:p>
    <w:p w14:paraId="042E2E76" w14:textId="77777777" w:rsidR="000E2F7D" w:rsidRDefault="000E2F7D" w:rsidP="000E2F7D">
      <w:pPr>
        <w:spacing w:after="0" w:line="240" w:lineRule="auto"/>
        <w:jc w:val="both"/>
      </w:pPr>
      <w:r>
        <w:t>Reprezentowaną/</w:t>
      </w:r>
      <w:proofErr w:type="spellStart"/>
      <w:r>
        <w:t>ym</w:t>
      </w:r>
      <w:proofErr w:type="spellEnd"/>
      <w:r>
        <w:t xml:space="preserve"> przez:</w:t>
      </w:r>
    </w:p>
    <w:p w14:paraId="7AB90BC0" w14:textId="77777777" w:rsidR="000E2F7D" w:rsidRDefault="000E2F7D" w:rsidP="000E2F7D">
      <w:pPr>
        <w:spacing w:after="0" w:line="240" w:lineRule="auto"/>
        <w:jc w:val="both"/>
      </w:pPr>
      <w:r>
        <w:rPr>
          <w:b/>
        </w:rPr>
        <w:t>…………………………………………………..</w:t>
      </w:r>
    </w:p>
    <w:p w14:paraId="2804CF5E" w14:textId="77777777" w:rsidR="000E2F7D" w:rsidRDefault="000E2F7D" w:rsidP="000E2F7D">
      <w:pPr>
        <w:spacing w:after="0" w:line="240" w:lineRule="auto"/>
        <w:jc w:val="both"/>
      </w:pPr>
      <w:r>
        <w:rPr>
          <w:rFonts w:eastAsia="Times New Roman"/>
          <w:b/>
        </w:rPr>
        <w:t>…………………………………………………..</w:t>
      </w:r>
    </w:p>
    <w:p w14:paraId="5B94247C" w14:textId="77777777" w:rsidR="000E2F7D" w:rsidRDefault="000E2F7D" w:rsidP="000E2F7D">
      <w:pPr>
        <w:spacing w:after="0" w:line="240" w:lineRule="auto"/>
        <w:jc w:val="both"/>
        <w:rPr>
          <w:rFonts w:eastAsia="Times New Roman"/>
          <w:b/>
        </w:rPr>
      </w:pPr>
    </w:p>
    <w:p w14:paraId="5D4892FE" w14:textId="77777777" w:rsidR="000E2F7D" w:rsidRDefault="000E2F7D" w:rsidP="000E2F7D">
      <w:pPr>
        <w:spacing w:after="0" w:line="240" w:lineRule="auto"/>
        <w:jc w:val="both"/>
      </w:pPr>
      <w:r>
        <w:rPr>
          <w:rFonts w:cs="Calibri"/>
        </w:rPr>
        <w:t xml:space="preserve"> </w:t>
      </w:r>
      <w:r>
        <w:rPr>
          <w:rFonts w:eastAsia="Times New Roman"/>
        </w:rPr>
        <w:t xml:space="preserve">(nazwa i adres Instytucji Otoczenia Biznesu, NIP, REGON, osoba/y umocowane do reprezentacji) </w:t>
      </w:r>
    </w:p>
    <w:p w14:paraId="443C1455" w14:textId="77777777" w:rsidR="000E2F7D" w:rsidRDefault="000E2F7D" w:rsidP="000E2F7D">
      <w:pPr>
        <w:spacing w:after="0" w:line="240" w:lineRule="auto"/>
        <w:jc w:val="both"/>
      </w:pPr>
      <w:r>
        <w:rPr>
          <w:rFonts w:eastAsia="Times New Roman"/>
        </w:rPr>
        <w:t xml:space="preserve">zwanym dalej „IOB”, </w:t>
      </w:r>
    </w:p>
    <w:p w14:paraId="4FE4D699" w14:textId="77777777" w:rsidR="000E2F7D" w:rsidRDefault="000E2F7D" w:rsidP="000E2F7D">
      <w:pPr>
        <w:spacing w:after="0" w:line="240" w:lineRule="auto"/>
        <w:jc w:val="both"/>
      </w:pPr>
      <w:r>
        <w:rPr>
          <w:rFonts w:eastAsia="Times New Roman"/>
        </w:rPr>
        <w:t>zwanymi dalej „Stronami porozumienia”</w:t>
      </w:r>
    </w:p>
    <w:p w14:paraId="19097DA2" w14:textId="77777777" w:rsidR="000E2F7D" w:rsidRDefault="000E2F7D" w:rsidP="000E2F7D">
      <w:pPr>
        <w:tabs>
          <w:tab w:val="left" w:pos="2860"/>
        </w:tabs>
        <w:spacing w:after="0" w:line="240" w:lineRule="auto"/>
        <w:ind w:left="181"/>
        <w:jc w:val="center"/>
        <w:rPr>
          <w:rFonts w:eastAsia="Times New Roman"/>
          <w:b/>
        </w:rPr>
      </w:pPr>
    </w:p>
    <w:p w14:paraId="1C255F5C" w14:textId="77777777" w:rsidR="000E2F7D" w:rsidRDefault="000E2F7D" w:rsidP="000E2F7D">
      <w:pPr>
        <w:tabs>
          <w:tab w:val="left" w:pos="2860"/>
        </w:tabs>
        <w:spacing w:after="0" w:line="240" w:lineRule="auto"/>
        <w:ind w:left="181"/>
        <w:jc w:val="center"/>
      </w:pPr>
      <w:r>
        <w:rPr>
          <w:rFonts w:eastAsia="Times New Roman"/>
          <w:b/>
        </w:rPr>
        <w:t>§ 1</w:t>
      </w:r>
    </w:p>
    <w:p w14:paraId="60C8060A" w14:textId="77777777" w:rsidR="000E2F7D" w:rsidRDefault="000E2F7D" w:rsidP="000E2F7D">
      <w:pPr>
        <w:pStyle w:val="Nagwek2"/>
        <w:keepNext/>
        <w:keepLines/>
        <w:shd w:val="clear" w:color="auto" w:fill="auto"/>
        <w:tabs>
          <w:tab w:val="left" w:pos="0"/>
        </w:tabs>
        <w:spacing w:before="0" w:after="0" w:line="240" w:lineRule="auto"/>
      </w:pPr>
      <w:r>
        <w:rPr>
          <w:rFonts w:ascii="Calibri" w:hAnsi="Calibri" w:cs="Calibri"/>
          <w:sz w:val="22"/>
          <w:szCs w:val="22"/>
          <w:lang w:val="pl-PL"/>
        </w:rPr>
        <w:t xml:space="preserve">Przedmiot Porozumienia </w:t>
      </w:r>
    </w:p>
    <w:p w14:paraId="749CA19E" w14:textId="77777777" w:rsidR="000E2F7D" w:rsidRDefault="000E2F7D" w:rsidP="000E2F7D">
      <w:pPr>
        <w:pStyle w:val="Akapitzlist"/>
        <w:numPr>
          <w:ilvl w:val="0"/>
          <w:numId w:val="10"/>
        </w:numPr>
        <w:autoSpaceDE w:val="0"/>
        <w:spacing w:after="0" w:line="240" w:lineRule="auto"/>
        <w:ind w:left="284"/>
        <w:jc w:val="both"/>
      </w:pPr>
      <w:r>
        <w:rPr>
          <w:rFonts w:cs="ArialMT"/>
        </w:rPr>
        <w:t xml:space="preserve">Na warunkach określonych w niniejszym porozumieniu, Operator powierza IOB zadania w zakresie wspomagania prowadzenia działalności gospodarczej, w szczególności polegające na wsparciu w formie dotacji oraz wsparciu w formie promesy -  w ramach realizacji projektu </w:t>
      </w:r>
      <w:r>
        <w:rPr>
          <w:rFonts w:cs="ArialMT"/>
          <w:b/>
        </w:rPr>
        <w:t>pn.: „Operator voucherów zwiększających konkurencyjność MSP działających w obszarze inteligentnych specjalizacji na terenie województwa opolskiego” współfinansowany ze środków Europejskiego Funduszu Rozwoju Regionalnego</w:t>
      </w:r>
      <w:r>
        <w:rPr>
          <w:rFonts w:cs="ArialMT"/>
        </w:rPr>
        <w:t xml:space="preserve"> na zasadach wynikających m.in. „Regulaminu rekrutacji </w:t>
      </w:r>
      <w:r>
        <w:rPr>
          <w:rFonts w:cs="ArialMT"/>
        </w:rPr>
        <w:br/>
        <w:t xml:space="preserve">i udzielania wsparcia” z dnia </w:t>
      </w:r>
      <w:r>
        <w:rPr>
          <w:rFonts w:cs="ArialMT"/>
          <w:b/>
        </w:rPr>
        <w:t>…………………………,</w:t>
      </w:r>
      <w:r>
        <w:rPr>
          <w:rFonts w:cs="ArialMT"/>
        </w:rPr>
        <w:t xml:space="preserve"> stanowiącego integralną część niniejszego porozumienia.</w:t>
      </w:r>
    </w:p>
    <w:p w14:paraId="37F1317F" w14:textId="77777777" w:rsidR="000E2F7D" w:rsidRDefault="000E2F7D" w:rsidP="000E2F7D">
      <w:pPr>
        <w:pStyle w:val="Akapitzlist"/>
        <w:numPr>
          <w:ilvl w:val="0"/>
          <w:numId w:val="10"/>
        </w:numPr>
        <w:autoSpaceDE w:val="0"/>
        <w:spacing w:after="0" w:line="240" w:lineRule="auto"/>
        <w:ind w:left="284"/>
        <w:jc w:val="both"/>
      </w:pPr>
      <w:r>
        <w:rPr>
          <w:rFonts w:cs="ArialMT"/>
        </w:rPr>
        <w:t>„Formularz zgłoszeniowym dla IOB - Karta Podmiotu” oraz „Formularze zgłoszeniowe dla IOB - Karta Usługi” wraz z załącznikami, złożone przez IOB na etapie rekrutacji do Projektu oraz w czasie jego realizacji stanowią integralną część niniejszego porozumienia.</w:t>
      </w:r>
    </w:p>
    <w:p w14:paraId="3B049BCB" w14:textId="77777777" w:rsidR="000E2F7D" w:rsidRDefault="000E2F7D" w:rsidP="000E2F7D">
      <w:pPr>
        <w:pStyle w:val="Akapitzlist"/>
        <w:numPr>
          <w:ilvl w:val="0"/>
          <w:numId w:val="10"/>
        </w:numPr>
        <w:autoSpaceDE w:val="0"/>
        <w:spacing w:after="0" w:line="240" w:lineRule="auto"/>
        <w:ind w:left="284" w:hanging="284"/>
        <w:jc w:val="both"/>
      </w:pPr>
      <w:r>
        <w:rPr>
          <w:rFonts w:cs="ArialMT"/>
        </w:rPr>
        <w:t xml:space="preserve">Strony porozumienia oświadczają, że zapoznały się z treścią „Regulaminu rekrutacji i udzielania wsparcia” z dnia </w:t>
      </w:r>
      <w:r>
        <w:rPr>
          <w:rFonts w:cs="ArialMT"/>
          <w:b/>
        </w:rPr>
        <w:t>………………………..</w:t>
      </w:r>
      <w:r>
        <w:rPr>
          <w:rFonts w:cs="ArialMT"/>
        </w:rPr>
        <w:t xml:space="preserve"> oraz zobowiązują się do stosowania jego zapisów.</w:t>
      </w:r>
    </w:p>
    <w:p w14:paraId="3AD99F9A" w14:textId="77777777" w:rsidR="000E2F7D" w:rsidRDefault="000E2F7D" w:rsidP="000E2F7D">
      <w:pPr>
        <w:spacing w:after="0" w:line="240" w:lineRule="auto"/>
        <w:jc w:val="center"/>
        <w:rPr>
          <w:rFonts w:eastAsia="Times New Roman" w:cs="ArialMT"/>
          <w:b/>
        </w:rPr>
      </w:pPr>
    </w:p>
    <w:p w14:paraId="49CC9D27" w14:textId="77777777" w:rsidR="000E2F7D" w:rsidRDefault="000E2F7D" w:rsidP="000E2F7D">
      <w:pPr>
        <w:spacing w:after="0" w:line="240" w:lineRule="auto"/>
        <w:jc w:val="center"/>
      </w:pPr>
      <w:r>
        <w:rPr>
          <w:rFonts w:eastAsia="Times New Roman"/>
          <w:b/>
        </w:rPr>
        <w:lastRenderedPageBreak/>
        <w:t>§ 2</w:t>
      </w:r>
    </w:p>
    <w:p w14:paraId="49B5C293" w14:textId="77777777" w:rsidR="000E2F7D" w:rsidRDefault="000E2F7D" w:rsidP="000E2F7D">
      <w:pPr>
        <w:spacing w:after="0" w:line="240" w:lineRule="auto"/>
        <w:jc w:val="center"/>
      </w:pPr>
      <w:r>
        <w:rPr>
          <w:rFonts w:eastAsia="Times New Roman"/>
          <w:b/>
        </w:rPr>
        <w:t xml:space="preserve">Okres realizacji Porozumienia </w:t>
      </w:r>
    </w:p>
    <w:p w14:paraId="5CF66056" w14:textId="77777777" w:rsidR="000E2F7D" w:rsidRDefault="000E2F7D" w:rsidP="000E2F7D">
      <w:pPr>
        <w:pStyle w:val="Akapitzlist"/>
        <w:numPr>
          <w:ilvl w:val="0"/>
          <w:numId w:val="2"/>
        </w:numPr>
        <w:tabs>
          <w:tab w:val="left" w:pos="284"/>
        </w:tabs>
        <w:autoSpaceDE w:val="0"/>
        <w:spacing w:after="0" w:line="240" w:lineRule="auto"/>
        <w:ind w:left="284" w:hanging="284"/>
        <w:jc w:val="both"/>
      </w:pPr>
      <w:r>
        <w:t xml:space="preserve">Czas realizacji porozumienia strony </w:t>
      </w:r>
      <w:r w:rsidRPr="00495D83">
        <w:t xml:space="preserve">ustalają na </w:t>
      </w:r>
      <w:r w:rsidRPr="00495D83">
        <w:rPr>
          <w:b/>
        </w:rPr>
        <w:t>31.12.2022 r.</w:t>
      </w:r>
    </w:p>
    <w:p w14:paraId="72DAA266" w14:textId="77777777" w:rsidR="000E2F7D" w:rsidRDefault="000E2F7D" w:rsidP="000E2F7D">
      <w:pPr>
        <w:pStyle w:val="Akapitzlist"/>
        <w:numPr>
          <w:ilvl w:val="0"/>
          <w:numId w:val="2"/>
        </w:numPr>
        <w:tabs>
          <w:tab w:val="left" w:pos="284"/>
        </w:tabs>
        <w:autoSpaceDE w:val="0"/>
        <w:spacing w:after="0" w:line="240" w:lineRule="auto"/>
        <w:ind w:left="284" w:hanging="284"/>
        <w:jc w:val="both"/>
      </w:pPr>
      <w:r>
        <w:t>Strony dopuszczają przedłużenie okresu realizacji porozumienia w sytuacji wydłużenia okresu realizacji Projektu.</w:t>
      </w:r>
    </w:p>
    <w:p w14:paraId="4895171E" w14:textId="77777777" w:rsidR="000E2F7D" w:rsidRDefault="000E2F7D" w:rsidP="000E2F7D">
      <w:pPr>
        <w:pStyle w:val="Akapitzlist"/>
        <w:autoSpaceDE w:val="0"/>
        <w:spacing w:after="0" w:line="240" w:lineRule="auto"/>
        <w:ind w:left="3824" w:firstLine="424"/>
        <w:rPr>
          <w:rFonts w:cs="ArialMT"/>
          <w:b/>
        </w:rPr>
      </w:pPr>
    </w:p>
    <w:p w14:paraId="1AA4C1AD" w14:textId="77777777" w:rsidR="000E2F7D" w:rsidRDefault="000E2F7D" w:rsidP="000E2F7D">
      <w:pPr>
        <w:pStyle w:val="Akapitzlist"/>
        <w:autoSpaceDE w:val="0"/>
        <w:spacing w:after="0" w:line="240" w:lineRule="auto"/>
        <w:ind w:left="3824" w:firstLine="424"/>
      </w:pPr>
      <w:r>
        <w:rPr>
          <w:rFonts w:cs="ArialMT"/>
          <w:b/>
        </w:rPr>
        <w:t>§ 3</w:t>
      </w:r>
    </w:p>
    <w:p w14:paraId="3DA6D347" w14:textId="77777777" w:rsidR="000E2F7D" w:rsidRDefault="000E2F7D" w:rsidP="000E2F7D">
      <w:pPr>
        <w:pStyle w:val="Akapitzlist"/>
        <w:tabs>
          <w:tab w:val="left" w:pos="0"/>
        </w:tabs>
        <w:spacing w:after="0" w:line="240" w:lineRule="auto"/>
        <w:ind w:left="0"/>
        <w:jc w:val="center"/>
      </w:pPr>
      <w:r>
        <w:rPr>
          <w:rFonts w:eastAsia="Times New Roman"/>
          <w:b/>
        </w:rPr>
        <w:t>Obowiązki IOB</w:t>
      </w:r>
    </w:p>
    <w:p w14:paraId="440424EF" w14:textId="77777777" w:rsidR="000E2F7D" w:rsidRDefault="000E2F7D" w:rsidP="000E2F7D">
      <w:pPr>
        <w:pStyle w:val="Akapitzlist"/>
        <w:numPr>
          <w:ilvl w:val="0"/>
          <w:numId w:val="12"/>
        </w:numPr>
        <w:tabs>
          <w:tab w:val="left" w:pos="0"/>
        </w:tabs>
        <w:spacing w:after="0" w:line="240" w:lineRule="auto"/>
        <w:ind w:left="284" w:hanging="284"/>
        <w:jc w:val="both"/>
      </w:pPr>
      <w:r>
        <w:rPr>
          <w:rFonts w:eastAsia="Times New Roman"/>
        </w:rPr>
        <w:t>W związku z realizacją porozumienia IOB jest zobowiązana do:</w:t>
      </w:r>
    </w:p>
    <w:p w14:paraId="6E09AC01" w14:textId="77777777" w:rsidR="000E2F7D" w:rsidRDefault="000E2F7D" w:rsidP="000E2F7D">
      <w:pPr>
        <w:pStyle w:val="Akapitzlist"/>
        <w:tabs>
          <w:tab w:val="left" w:pos="0"/>
        </w:tabs>
        <w:spacing w:after="0" w:line="240" w:lineRule="auto"/>
        <w:ind w:left="284"/>
        <w:jc w:val="both"/>
      </w:pPr>
      <w:r>
        <w:rPr>
          <w:rFonts w:eastAsia="Times New Roman"/>
        </w:rPr>
        <w:t>1)</w:t>
      </w:r>
      <w:r>
        <w:rPr>
          <w:rFonts w:eastAsia="Times New Roman"/>
        </w:rPr>
        <w:tab/>
        <w:t xml:space="preserve">zapoznania się z treścią Regulaminu i przestrzegania jego zapisów, </w:t>
      </w:r>
    </w:p>
    <w:p w14:paraId="041891A3" w14:textId="77777777" w:rsidR="000E2F7D" w:rsidRDefault="000E2F7D" w:rsidP="000E2F7D">
      <w:pPr>
        <w:pStyle w:val="Akapitzlist"/>
        <w:tabs>
          <w:tab w:val="left" w:pos="0"/>
        </w:tabs>
        <w:spacing w:after="0" w:line="240" w:lineRule="auto"/>
        <w:ind w:left="284"/>
        <w:jc w:val="both"/>
      </w:pPr>
      <w:r>
        <w:rPr>
          <w:rFonts w:eastAsia="Times New Roman"/>
        </w:rPr>
        <w:t>2)</w:t>
      </w:r>
      <w:r>
        <w:rPr>
          <w:rFonts w:eastAsia="Times New Roman"/>
        </w:rPr>
        <w:tab/>
        <w:t xml:space="preserve">przestrzegania zapisów Umowy wsparcia zawartej z Operatorem oraz MSP, </w:t>
      </w:r>
    </w:p>
    <w:p w14:paraId="3D97C3A7" w14:textId="77777777" w:rsidR="000E2F7D" w:rsidRDefault="000E2F7D" w:rsidP="000E2F7D">
      <w:pPr>
        <w:pStyle w:val="Akapitzlist"/>
        <w:tabs>
          <w:tab w:val="left" w:pos="0"/>
        </w:tabs>
        <w:spacing w:after="0" w:line="240" w:lineRule="auto"/>
        <w:ind w:left="284"/>
        <w:jc w:val="both"/>
      </w:pPr>
      <w:r>
        <w:rPr>
          <w:rFonts w:eastAsia="Times New Roman"/>
        </w:rPr>
        <w:t>3)</w:t>
      </w:r>
      <w:r>
        <w:rPr>
          <w:rFonts w:eastAsia="Times New Roman"/>
        </w:rPr>
        <w:tab/>
        <w:t>dostarczenia wszelkich niezbędnych dokumentów żądanych przez Operatora, w tym w szczególności dotyczących: sposobu realizowania przez nich Projektu, dokumentów finansowych, zawartych umów, a także wszelkich innych, związanych  w związku z realizowanym Projektem,</w:t>
      </w:r>
    </w:p>
    <w:p w14:paraId="0239A24E" w14:textId="77777777" w:rsidR="000E2F7D" w:rsidRDefault="000E2F7D" w:rsidP="000E2F7D">
      <w:pPr>
        <w:pStyle w:val="Akapitzlist"/>
        <w:tabs>
          <w:tab w:val="left" w:pos="0"/>
        </w:tabs>
        <w:spacing w:after="0" w:line="240" w:lineRule="auto"/>
        <w:ind w:left="284"/>
        <w:jc w:val="both"/>
      </w:pPr>
      <w:r>
        <w:rPr>
          <w:rFonts w:eastAsia="Times New Roman"/>
        </w:rPr>
        <w:t>4)</w:t>
      </w:r>
      <w:r>
        <w:rPr>
          <w:rFonts w:eastAsia="Times New Roman"/>
        </w:rPr>
        <w:tab/>
        <w:t>zapewnienia wysokiej jakości usług podstawowych i prorozwojowych zgodnie z zapotrzebowaniem MSP;</w:t>
      </w:r>
    </w:p>
    <w:p w14:paraId="78144C7F" w14:textId="77777777" w:rsidR="000E2F7D" w:rsidRDefault="000E2F7D" w:rsidP="000E2F7D">
      <w:pPr>
        <w:pStyle w:val="Akapitzlist"/>
        <w:tabs>
          <w:tab w:val="left" w:pos="0"/>
        </w:tabs>
        <w:spacing w:after="0" w:line="240" w:lineRule="auto"/>
        <w:ind w:left="284"/>
        <w:jc w:val="both"/>
      </w:pPr>
      <w:r>
        <w:rPr>
          <w:rFonts w:eastAsia="Times New Roman"/>
        </w:rPr>
        <w:t>5)</w:t>
      </w:r>
      <w:r>
        <w:rPr>
          <w:rFonts w:eastAsia="Times New Roman"/>
        </w:rPr>
        <w:tab/>
        <w:t>współpracy z Operatorem m.in w zakresie działań informacyjnych i promocyjnych dotyczących realizowanego Projektu,</w:t>
      </w:r>
    </w:p>
    <w:p w14:paraId="3DC78CE4" w14:textId="77777777" w:rsidR="000E2F7D" w:rsidRDefault="000E2F7D" w:rsidP="000E2F7D">
      <w:pPr>
        <w:pStyle w:val="Akapitzlist"/>
        <w:tabs>
          <w:tab w:val="left" w:pos="0"/>
        </w:tabs>
        <w:spacing w:after="0" w:line="240" w:lineRule="auto"/>
        <w:ind w:left="284"/>
        <w:jc w:val="both"/>
      </w:pPr>
      <w:r>
        <w:rPr>
          <w:rFonts w:eastAsia="Times New Roman"/>
        </w:rPr>
        <w:t>6)</w:t>
      </w:r>
      <w:r>
        <w:rPr>
          <w:rFonts w:eastAsia="Times New Roman"/>
        </w:rPr>
        <w:tab/>
        <w:t>dostarczenia wszelkich informacji Operatorowi w tym podczas wizyt monitoringowej oraz udzielania innym instytucjom do tego uprawnionym niezbędnych informacji do celów monitoringu, kontroli i ewaluacji projektu,</w:t>
      </w:r>
    </w:p>
    <w:p w14:paraId="2B74CED6" w14:textId="77777777" w:rsidR="000E2F7D" w:rsidRDefault="000E2F7D" w:rsidP="000E2F7D">
      <w:pPr>
        <w:pStyle w:val="Akapitzlist"/>
        <w:tabs>
          <w:tab w:val="left" w:pos="0"/>
        </w:tabs>
        <w:spacing w:after="0" w:line="240" w:lineRule="auto"/>
        <w:ind w:left="284"/>
        <w:jc w:val="both"/>
      </w:pPr>
      <w:r>
        <w:rPr>
          <w:rFonts w:eastAsia="Times New Roman"/>
        </w:rPr>
        <w:t>7)</w:t>
      </w:r>
      <w:r>
        <w:rPr>
          <w:rFonts w:eastAsia="Times New Roman"/>
        </w:rPr>
        <w:tab/>
        <w:t>terminowego regulowania wszelkich płatności związanych z realizacją Projektu – zarówno na rzecz MSP, jak również podmiotów trzecich,</w:t>
      </w:r>
    </w:p>
    <w:p w14:paraId="3B2FB093" w14:textId="77777777" w:rsidR="000E2F7D" w:rsidRDefault="000E2F7D" w:rsidP="000E2F7D">
      <w:pPr>
        <w:pStyle w:val="Akapitzlist"/>
        <w:tabs>
          <w:tab w:val="left" w:pos="0"/>
        </w:tabs>
        <w:spacing w:after="0" w:line="240" w:lineRule="auto"/>
        <w:ind w:left="284"/>
        <w:jc w:val="both"/>
      </w:pPr>
      <w:r>
        <w:rPr>
          <w:rFonts w:eastAsia="Times New Roman"/>
        </w:rPr>
        <w:t>8) corocznego przedkładania Operatorowi – w terminie do 31 marca danego roku – zaktualizowanego Formularza zgłoszeniowego dla IOB - Karta Podmiotu</w:t>
      </w:r>
    </w:p>
    <w:p w14:paraId="2F95C029" w14:textId="77777777" w:rsidR="000E2F7D" w:rsidRDefault="000E2F7D" w:rsidP="000E2F7D">
      <w:pPr>
        <w:pStyle w:val="Akapitzlist"/>
        <w:tabs>
          <w:tab w:val="left" w:pos="0"/>
        </w:tabs>
        <w:spacing w:after="0" w:line="240" w:lineRule="auto"/>
        <w:ind w:left="284"/>
        <w:jc w:val="both"/>
      </w:pPr>
      <w:r>
        <w:rPr>
          <w:rFonts w:eastAsia="Times New Roman"/>
        </w:rPr>
        <w:t>9)</w:t>
      </w:r>
      <w:r>
        <w:rPr>
          <w:rFonts w:eastAsia="Times New Roman"/>
        </w:rPr>
        <w:tab/>
        <w:t>umożliwienia Operatorowi wykonywania czynności kontrolnych – przez cały okres realizacji projektu – zarówno w siedzibie IOB, jak również u Operatora.</w:t>
      </w:r>
    </w:p>
    <w:p w14:paraId="1EF9A6AF" w14:textId="77777777" w:rsidR="000E2F7D" w:rsidRDefault="000E2F7D" w:rsidP="000E2F7D">
      <w:pPr>
        <w:pStyle w:val="Akapitzlist"/>
        <w:tabs>
          <w:tab w:val="left" w:pos="0"/>
        </w:tabs>
        <w:spacing w:after="0" w:line="240" w:lineRule="auto"/>
        <w:ind w:left="0"/>
        <w:jc w:val="center"/>
        <w:rPr>
          <w:rFonts w:eastAsia="Times New Roman"/>
          <w:b/>
        </w:rPr>
      </w:pPr>
    </w:p>
    <w:p w14:paraId="6A7C4D7B" w14:textId="77777777" w:rsidR="000E2F7D" w:rsidRDefault="000E2F7D" w:rsidP="000E2F7D">
      <w:pPr>
        <w:pStyle w:val="Akapitzlist"/>
        <w:tabs>
          <w:tab w:val="left" w:pos="0"/>
        </w:tabs>
        <w:spacing w:after="0" w:line="240" w:lineRule="auto"/>
        <w:ind w:left="0"/>
        <w:jc w:val="center"/>
      </w:pPr>
      <w:r>
        <w:rPr>
          <w:rFonts w:eastAsia="Times New Roman"/>
          <w:b/>
        </w:rPr>
        <w:t>§ 4</w:t>
      </w:r>
    </w:p>
    <w:p w14:paraId="3DB55395" w14:textId="77777777" w:rsidR="000E2F7D" w:rsidRDefault="000E2F7D" w:rsidP="000E2F7D">
      <w:pPr>
        <w:pStyle w:val="Akapitzlist"/>
        <w:tabs>
          <w:tab w:val="left" w:pos="1418"/>
        </w:tabs>
        <w:spacing w:after="0" w:line="240" w:lineRule="auto"/>
        <w:ind w:left="0"/>
        <w:jc w:val="center"/>
      </w:pPr>
      <w:r>
        <w:rPr>
          <w:rFonts w:eastAsia="Times New Roman"/>
          <w:b/>
        </w:rPr>
        <w:t xml:space="preserve">Postanowienia szczegółowe </w:t>
      </w:r>
    </w:p>
    <w:p w14:paraId="7054442E" w14:textId="77777777" w:rsidR="000E2F7D" w:rsidRDefault="000E2F7D" w:rsidP="000E2F7D">
      <w:pPr>
        <w:pStyle w:val="Akapitzlist"/>
        <w:numPr>
          <w:ilvl w:val="0"/>
          <w:numId w:val="11"/>
        </w:numPr>
        <w:tabs>
          <w:tab w:val="left" w:pos="284"/>
        </w:tabs>
        <w:spacing w:after="0" w:line="240" w:lineRule="auto"/>
        <w:ind w:left="284" w:hanging="284"/>
        <w:jc w:val="both"/>
      </w:pPr>
      <w:r>
        <w:rPr>
          <w:rFonts w:eastAsia="Times New Roman"/>
        </w:rPr>
        <w:t xml:space="preserve">W związku z realizacją porozumienia Operator otrzymuje ankiety oceny jakości usług, wypełnianie przez MSP każdorazowo po zrealizowaniu usługi przez IOB. W przypadku niedostarczenia ankiety oceny jakości usług przez MSP, Operator wstrzymuje przekazanie wsparcia w formie dotacji/promesy na rachunek bankowy MSP/IOB. </w:t>
      </w:r>
    </w:p>
    <w:p w14:paraId="6BC89CBB" w14:textId="77777777" w:rsidR="000E2F7D" w:rsidRDefault="000E2F7D" w:rsidP="000E2F7D">
      <w:pPr>
        <w:pStyle w:val="Akapitzlist"/>
        <w:numPr>
          <w:ilvl w:val="0"/>
          <w:numId w:val="11"/>
        </w:numPr>
        <w:tabs>
          <w:tab w:val="left" w:pos="284"/>
        </w:tabs>
        <w:spacing w:after="0" w:line="240" w:lineRule="auto"/>
        <w:ind w:left="284" w:hanging="284"/>
        <w:jc w:val="both"/>
      </w:pPr>
      <w:r>
        <w:rPr>
          <w:rFonts w:eastAsia="Times New Roman"/>
        </w:rPr>
        <w:t>Operator prowadzi analizę jakości usług świadczonych przez IOB w szczególności na podstawie wyników przeprowadzonych kontroli, ankiet otrzymanych od MSP. Analiza jakości ma na celu monitorowanie jakości usług świadczonych przez IOB w ramach systemu popytowego.</w:t>
      </w:r>
    </w:p>
    <w:p w14:paraId="0A31B43D" w14:textId="77777777" w:rsidR="000E2F7D" w:rsidRDefault="000E2F7D" w:rsidP="000E2F7D">
      <w:pPr>
        <w:pStyle w:val="Akapitzlist"/>
        <w:numPr>
          <w:ilvl w:val="0"/>
          <w:numId w:val="11"/>
        </w:numPr>
        <w:tabs>
          <w:tab w:val="left" w:pos="284"/>
        </w:tabs>
        <w:spacing w:after="0" w:line="240" w:lineRule="auto"/>
        <w:ind w:left="284" w:hanging="284"/>
        <w:jc w:val="both"/>
      </w:pPr>
      <w:r>
        <w:rPr>
          <w:rFonts w:eastAsia="Times New Roman"/>
        </w:rPr>
        <w:t>Operator prowadzi weryfikację jakości usług świadczonych przez IOB stale w ramach trwania projektu, z częstotliwością co najmniej raz po zakończeniu każdego kwartału. Ocenie poddawane są jedynie aktywne IOB, tzn. świadczące usługi w danym kwartale.</w:t>
      </w:r>
    </w:p>
    <w:p w14:paraId="2FDC36D8" w14:textId="77777777" w:rsidR="000E2F7D" w:rsidRDefault="000E2F7D" w:rsidP="000E2F7D">
      <w:pPr>
        <w:pStyle w:val="Akapitzlist"/>
        <w:numPr>
          <w:ilvl w:val="0"/>
          <w:numId w:val="11"/>
        </w:numPr>
        <w:tabs>
          <w:tab w:val="left" w:pos="284"/>
        </w:tabs>
        <w:spacing w:after="0" w:line="240" w:lineRule="auto"/>
        <w:ind w:left="284" w:hanging="284"/>
        <w:jc w:val="both"/>
      </w:pPr>
      <w:r>
        <w:rPr>
          <w:rFonts w:eastAsia="Times New Roman"/>
        </w:rPr>
        <w:t>W przypadku negatywnych opinii MSP na temat jakości świadczonych usług przez IOB, Operator informuje IOB o negatywnej ocenie oraz proponuje działania naprawcze. Informacja na ten temat jest przekazywana również do IZ RPO WO 2014-2020.</w:t>
      </w:r>
    </w:p>
    <w:p w14:paraId="2E30B62A" w14:textId="77777777" w:rsidR="000E2F7D" w:rsidRDefault="000E2F7D" w:rsidP="000E2F7D">
      <w:pPr>
        <w:pStyle w:val="Akapitzlist"/>
        <w:numPr>
          <w:ilvl w:val="0"/>
          <w:numId w:val="11"/>
        </w:numPr>
        <w:tabs>
          <w:tab w:val="left" w:pos="284"/>
        </w:tabs>
        <w:spacing w:after="0" w:line="240" w:lineRule="auto"/>
        <w:ind w:left="284" w:hanging="284"/>
        <w:jc w:val="both"/>
      </w:pPr>
      <w:r>
        <w:rPr>
          <w:rFonts w:eastAsia="Times New Roman"/>
        </w:rPr>
        <w:t xml:space="preserve">W przypadku stwierdzonych przez Operatora nieprawidłowości w zakresie realizacji przez IOB Projektu, polegających m.in. na nieprzestrzeganiu przez IOB zapisów Regulaminu, porozumienia, przepisów powszechnie obowiązującego prawa, utrudnianiu przeprowadzania przez Operatora czynności kontrolnych, Operator nakazuje IOB podjęcie działań naprawczych, wyznaczając IOB w tym celu odpowiedni termin. W przypadku niewywiązania się przez IOB z obowiązku wykonania </w:t>
      </w:r>
      <w:r>
        <w:rPr>
          <w:rFonts w:eastAsia="Times New Roman"/>
        </w:rPr>
        <w:lastRenderedPageBreak/>
        <w:t>czynności naprawczych w zakreślonym terminie Operator wstrzymuje przekazanie wsparcia w formie dotacji/promesy na rachunek bankowy IOB.</w:t>
      </w:r>
    </w:p>
    <w:p w14:paraId="1DC93DDB" w14:textId="77777777" w:rsidR="000E2F7D" w:rsidRDefault="000E2F7D" w:rsidP="000E2F7D">
      <w:pPr>
        <w:pStyle w:val="Akapitzlist"/>
        <w:numPr>
          <w:ilvl w:val="0"/>
          <w:numId w:val="11"/>
        </w:numPr>
        <w:tabs>
          <w:tab w:val="left" w:pos="284"/>
        </w:tabs>
        <w:spacing w:after="0" w:line="240" w:lineRule="auto"/>
        <w:ind w:left="284" w:hanging="284"/>
        <w:jc w:val="both"/>
      </w:pPr>
      <w:r>
        <w:rPr>
          <w:rFonts w:eastAsia="Times New Roman"/>
        </w:rPr>
        <w:t>W przypadku nieskuteczności działań naprawczych, może być także podjęta decyzja o wykluczeniu IOB z systemu popytowego. Operator podejmuje decyzję o wykluczeniu w oparciu o dokonaną analizę oraz stanowisko IZ RPO WO 2014 - 2020.</w:t>
      </w:r>
    </w:p>
    <w:p w14:paraId="4C56B0CE" w14:textId="77777777" w:rsidR="000E2F7D" w:rsidRDefault="000E2F7D" w:rsidP="000E2F7D">
      <w:pPr>
        <w:pStyle w:val="Akapitzlist"/>
        <w:numPr>
          <w:ilvl w:val="0"/>
          <w:numId w:val="11"/>
        </w:numPr>
        <w:tabs>
          <w:tab w:val="left" w:pos="284"/>
        </w:tabs>
        <w:spacing w:after="0" w:line="240" w:lineRule="auto"/>
        <w:ind w:left="284" w:hanging="284"/>
        <w:jc w:val="both"/>
      </w:pPr>
      <w:r>
        <w:rPr>
          <w:rFonts w:eastAsia="Times New Roman"/>
        </w:rPr>
        <w:t xml:space="preserve">Wykluczenie IOB z projektu może być całkowite lub okresowe. Operator przekazuje informację na ten temat do danej IOB oraz IZ RPO WO 2014 - 2020. </w:t>
      </w:r>
    </w:p>
    <w:p w14:paraId="34C9BC28" w14:textId="77777777" w:rsidR="000E2F7D" w:rsidRDefault="000E2F7D" w:rsidP="000E2F7D">
      <w:pPr>
        <w:pStyle w:val="Akapitzlist"/>
        <w:numPr>
          <w:ilvl w:val="0"/>
          <w:numId w:val="11"/>
        </w:numPr>
        <w:tabs>
          <w:tab w:val="left" w:pos="284"/>
        </w:tabs>
        <w:spacing w:after="0" w:line="240" w:lineRule="auto"/>
        <w:ind w:left="284" w:hanging="284"/>
        <w:jc w:val="both"/>
      </w:pPr>
      <w:r>
        <w:rPr>
          <w:rFonts w:eastAsia="Times New Roman"/>
        </w:rPr>
        <w:t xml:space="preserve">Operator na podstawie dokonywanej analizy w oparciu o ankiety oceny jakości usług wypełniane przez MSP umieszcza na stronie internetowej Projektu informacje na temat pozytywnych aspektów/wyników realizowanego systemu popytowego. Aktualizacja informacji w tym zakresie na stronie internetowej projektu będzie przeprowadzana co najmniej raz na 6 miesięcy. </w:t>
      </w:r>
    </w:p>
    <w:p w14:paraId="3A4424E5" w14:textId="77777777" w:rsidR="000E2F7D" w:rsidRDefault="000E2F7D" w:rsidP="000E2F7D">
      <w:pPr>
        <w:pStyle w:val="Akapitzlist"/>
        <w:numPr>
          <w:ilvl w:val="0"/>
          <w:numId w:val="11"/>
        </w:numPr>
        <w:tabs>
          <w:tab w:val="left" w:pos="284"/>
        </w:tabs>
        <w:spacing w:after="0" w:line="240" w:lineRule="auto"/>
        <w:ind w:left="284" w:hanging="284"/>
        <w:jc w:val="both"/>
      </w:pPr>
      <w:r>
        <w:rPr>
          <w:rFonts w:eastAsia="Times New Roman"/>
        </w:rPr>
        <w:t>System oceny jakości usług świadczonych przez IOB może zostać zmodyfikowany przez IZRPO WO 2014-2020 w szczególności w wyniku ustaleń na poziomie krajowym.</w:t>
      </w:r>
    </w:p>
    <w:p w14:paraId="63484147" w14:textId="77777777" w:rsidR="000E2F7D" w:rsidRDefault="000E2F7D" w:rsidP="000E2F7D">
      <w:pPr>
        <w:pStyle w:val="Akapitzlist"/>
        <w:tabs>
          <w:tab w:val="left" w:pos="284"/>
        </w:tabs>
        <w:spacing w:after="0" w:line="240" w:lineRule="auto"/>
        <w:jc w:val="both"/>
        <w:rPr>
          <w:rFonts w:eastAsia="Times New Roman"/>
        </w:rPr>
      </w:pPr>
    </w:p>
    <w:p w14:paraId="65FD23B2" w14:textId="77777777" w:rsidR="000E2F7D" w:rsidRDefault="000E2F7D" w:rsidP="000E2F7D">
      <w:pPr>
        <w:pStyle w:val="Akapitzlist"/>
        <w:tabs>
          <w:tab w:val="left" w:pos="284"/>
        </w:tabs>
        <w:spacing w:after="0" w:line="240" w:lineRule="auto"/>
        <w:jc w:val="center"/>
      </w:pPr>
      <w:r>
        <w:rPr>
          <w:rFonts w:eastAsia="Times New Roman"/>
          <w:b/>
        </w:rPr>
        <w:t>§5</w:t>
      </w:r>
    </w:p>
    <w:p w14:paraId="3B4F5AE0" w14:textId="77777777" w:rsidR="000E2F7D" w:rsidRDefault="000E2F7D" w:rsidP="000E2F7D">
      <w:pPr>
        <w:pStyle w:val="Akapitzlist"/>
        <w:tabs>
          <w:tab w:val="left" w:pos="284"/>
        </w:tabs>
        <w:spacing w:after="0" w:line="240" w:lineRule="auto"/>
        <w:jc w:val="center"/>
      </w:pPr>
      <w:r>
        <w:rPr>
          <w:rFonts w:eastAsia="Times New Roman"/>
          <w:b/>
        </w:rPr>
        <w:t>Kontrola i monitoring</w:t>
      </w:r>
    </w:p>
    <w:p w14:paraId="6E5E1CD6" w14:textId="77777777" w:rsidR="000E2F7D" w:rsidRDefault="000E2F7D" w:rsidP="000E2F7D">
      <w:pPr>
        <w:pStyle w:val="Akapitzlist"/>
        <w:numPr>
          <w:ilvl w:val="0"/>
          <w:numId w:val="5"/>
        </w:numPr>
        <w:tabs>
          <w:tab w:val="left" w:pos="284"/>
        </w:tabs>
        <w:spacing w:after="0" w:line="240" w:lineRule="auto"/>
        <w:ind w:left="284"/>
        <w:jc w:val="both"/>
      </w:pPr>
      <w:r>
        <w:rPr>
          <w:rFonts w:eastAsia="Times New Roman"/>
        </w:rPr>
        <w:t>Kontrole są prowadzone przy uwzględnieniu wymogów określonych w „Wytycznych w zakresie kontroli realizacji programów operacyjnych na lata 2014-2020”.</w:t>
      </w:r>
    </w:p>
    <w:p w14:paraId="2B85394D" w14:textId="77777777" w:rsidR="000E2F7D" w:rsidRDefault="000E2F7D" w:rsidP="000E2F7D">
      <w:pPr>
        <w:pStyle w:val="Akapitzlist"/>
        <w:numPr>
          <w:ilvl w:val="0"/>
          <w:numId w:val="5"/>
        </w:numPr>
        <w:tabs>
          <w:tab w:val="left" w:pos="284"/>
        </w:tabs>
        <w:spacing w:after="0" w:line="240" w:lineRule="auto"/>
        <w:ind w:left="284"/>
        <w:jc w:val="both"/>
      </w:pPr>
      <w:r>
        <w:rPr>
          <w:rFonts w:eastAsia="Times New Roman"/>
        </w:rPr>
        <w:t>IOB jest zobowiązany w każdym czasie trwania Projektu poddać się kontroli przez Operatora oraz inne uprawnione organy, udostępniając całość wnioskowanej dokumentacji.</w:t>
      </w:r>
    </w:p>
    <w:p w14:paraId="30F406AE" w14:textId="77777777" w:rsidR="000E2F7D" w:rsidRDefault="000E2F7D" w:rsidP="000E2F7D">
      <w:pPr>
        <w:pStyle w:val="Akapitzlist"/>
        <w:numPr>
          <w:ilvl w:val="0"/>
          <w:numId w:val="5"/>
        </w:numPr>
        <w:tabs>
          <w:tab w:val="left" w:pos="284"/>
        </w:tabs>
        <w:spacing w:after="0" w:line="240" w:lineRule="auto"/>
        <w:ind w:left="284"/>
        <w:jc w:val="both"/>
      </w:pPr>
      <w:r>
        <w:rPr>
          <w:rFonts w:eastAsia="Times New Roman"/>
        </w:rPr>
        <w:t>Ustalenia podmiotów, o których mowa w ust. 2, mogą w szczególności prowadzić do korekty wydatków kwalifikowalnych, rozliczonych w ramach umowy wsparcia.</w:t>
      </w:r>
    </w:p>
    <w:p w14:paraId="1CB11489" w14:textId="77777777" w:rsidR="000E2F7D" w:rsidRDefault="000E2F7D" w:rsidP="000E2F7D">
      <w:pPr>
        <w:pStyle w:val="Akapitzlist"/>
        <w:numPr>
          <w:ilvl w:val="0"/>
          <w:numId w:val="5"/>
        </w:numPr>
        <w:tabs>
          <w:tab w:val="left" w:pos="284"/>
        </w:tabs>
        <w:spacing w:after="0" w:line="240" w:lineRule="auto"/>
        <w:ind w:left="284"/>
        <w:jc w:val="both"/>
      </w:pPr>
      <w:r>
        <w:rPr>
          <w:rFonts w:eastAsia="Times New Roman"/>
        </w:rPr>
        <w:t>Podczas kontroli MSP/IOB zobowiązane są zapewnić obecność osób upoważnionych do udzielenia wyjaśnień na temat przebiegu realizacji umowy wsparcia.</w:t>
      </w:r>
    </w:p>
    <w:p w14:paraId="506D7EA5" w14:textId="77777777" w:rsidR="000E2F7D" w:rsidRDefault="000E2F7D" w:rsidP="000E2F7D">
      <w:pPr>
        <w:pStyle w:val="Akapitzlist"/>
        <w:numPr>
          <w:ilvl w:val="0"/>
          <w:numId w:val="5"/>
        </w:numPr>
        <w:tabs>
          <w:tab w:val="left" w:pos="284"/>
        </w:tabs>
        <w:spacing w:after="0" w:line="240" w:lineRule="auto"/>
        <w:ind w:left="284"/>
        <w:jc w:val="both"/>
      </w:pPr>
      <w:r>
        <w:rPr>
          <w:rFonts w:eastAsia="Times New Roman"/>
        </w:rPr>
        <w:t>Kontrole w odniesieniu do uczestników projektu mogą być przeprowadzane:</w:t>
      </w:r>
    </w:p>
    <w:p w14:paraId="13A06699" w14:textId="77777777" w:rsidR="000E2F7D" w:rsidRDefault="000E2F7D" w:rsidP="000E2F7D">
      <w:pPr>
        <w:pStyle w:val="Akapitzlist"/>
        <w:numPr>
          <w:ilvl w:val="0"/>
          <w:numId w:val="13"/>
        </w:numPr>
        <w:tabs>
          <w:tab w:val="left" w:pos="284"/>
        </w:tabs>
        <w:spacing w:after="0" w:line="240" w:lineRule="auto"/>
        <w:jc w:val="both"/>
      </w:pPr>
      <w:r>
        <w:rPr>
          <w:rFonts w:eastAsia="Times New Roman"/>
        </w:rPr>
        <w:t>na dokumentach w siedzibie Operatora;</w:t>
      </w:r>
    </w:p>
    <w:p w14:paraId="0B8CA938" w14:textId="77777777" w:rsidR="000E2F7D" w:rsidRDefault="000E2F7D" w:rsidP="000E2F7D">
      <w:pPr>
        <w:pStyle w:val="Akapitzlist"/>
        <w:numPr>
          <w:ilvl w:val="0"/>
          <w:numId w:val="13"/>
        </w:numPr>
        <w:tabs>
          <w:tab w:val="left" w:pos="284"/>
        </w:tabs>
        <w:spacing w:after="0" w:line="240" w:lineRule="auto"/>
        <w:jc w:val="both"/>
      </w:pPr>
      <w:r>
        <w:rPr>
          <w:rFonts w:eastAsia="Times New Roman"/>
        </w:rPr>
        <w:t>na dokumentach w siedzibie IOB;</w:t>
      </w:r>
    </w:p>
    <w:p w14:paraId="2E446E36" w14:textId="77777777" w:rsidR="000E2F7D" w:rsidRDefault="000E2F7D" w:rsidP="000E2F7D">
      <w:pPr>
        <w:pStyle w:val="Akapitzlist"/>
        <w:numPr>
          <w:ilvl w:val="0"/>
          <w:numId w:val="13"/>
        </w:numPr>
        <w:tabs>
          <w:tab w:val="left" w:pos="284"/>
        </w:tabs>
        <w:spacing w:after="0" w:line="240" w:lineRule="auto"/>
        <w:jc w:val="both"/>
      </w:pPr>
      <w:r>
        <w:rPr>
          <w:rFonts w:eastAsia="Times New Roman"/>
        </w:rPr>
        <w:t>w miejscu realizacji usługi (wizyta monitoringowa);</w:t>
      </w:r>
    </w:p>
    <w:p w14:paraId="1244CF2F" w14:textId="77777777" w:rsidR="000E2F7D" w:rsidRDefault="000E2F7D" w:rsidP="000E2F7D">
      <w:pPr>
        <w:pStyle w:val="Akapitzlist"/>
        <w:numPr>
          <w:ilvl w:val="0"/>
          <w:numId w:val="13"/>
        </w:numPr>
        <w:tabs>
          <w:tab w:val="left" w:pos="284"/>
        </w:tabs>
        <w:spacing w:after="0" w:line="240" w:lineRule="auto"/>
        <w:jc w:val="both"/>
      </w:pPr>
      <w:r>
        <w:rPr>
          <w:rFonts w:eastAsia="Times New Roman"/>
        </w:rPr>
        <w:t xml:space="preserve">w siedzibie MSP. </w:t>
      </w:r>
    </w:p>
    <w:p w14:paraId="74CCEF13" w14:textId="77777777" w:rsidR="000E2F7D" w:rsidRDefault="000E2F7D" w:rsidP="000E2F7D">
      <w:pPr>
        <w:pStyle w:val="Akapitzlist"/>
        <w:numPr>
          <w:ilvl w:val="0"/>
          <w:numId w:val="5"/>
        </w:numPr>
        <w:tabs>
          <w:tab w:val="left" w:pos="284"/>
        </w:tabs>
        <w:spacing w:after="0" w:line="240" w:lineRule="auto"/>
        <w:ind w:left="284"/>
        <w:jc w:val="both"/>
      </w:pPr>
      <w:r>
        <w:rPr>
          <w:rFonts w:eastAsia="Times New Roman"/>
        </w:rPr>
        <w:t xml:space="preserve">Kontrole w siedzibie Operatora są prowadzone na podstawie dokumentów rozliczeniowych dostarczonych przez MSP lub IOB i obejmują w szczególności sprawdzenie, czy usługi zostały zrealizowane i rozliczone zgodnie z warunkami umowy wsparcia. </w:t>
      </w:r>
    </w:p>
    <w:p w14:paraId="74FCA429" w14:textId="77777777" w:rsidR="000E2F7D" w:rsidRDefault="000E2F7D" w:rsidP="000E2F7D">
      <w:pPr>
        <w:pStyle w:val="Akapitzlist"/>
        <w:numPr>
          <w:ilvl w:val="0"/>
          <w:numId w:val="5"/>
        </w:numPr>
        <w:tabs>
          <w:tab w:val="left" w:pos="284"/>
        </w:tabs>
        <w:spacing w:after="0" w:line="240" w:lineRule="auto"/>
        <w:ind w:left="284"/>
        <w:jc w:val="both"/>
      </w:pPr>
      <w:r>
        <w:rPr>
          <w:rFonts w:eastAsia="Times New Roman"/>
        </w:rPr>
        <w:t xml:space="preserve">Wizyta monitoringowa przeprowadzana przez Operatora na miejscu realizacji usługi ma na celu w szczególności sprawdzenie faktycznego dostarczenia usługi i jej zgodności ze standardami określonymi w dokumentach rekrutacyjnych. </w:t>
      </w:r>
    </w:p>
    <w:p w14:paraId="1B32A744" w14:textId="77777777" w:rsidR="000E2F7D" w:rsidRDefault="000E2F7D" w:rsidP="000E2F7D">
      <w:pPr>
        <w:pStyle w:val="Akapitzlist"/>
        <w:numPr>
          <w:ilvl w:val="0"/>
          <w:numId w:val="5"/>
        </w:numPr>
        <w:tabs>
          <w:tab w:val="left" w:pos="284"/>
        </w:tabs>
        <w:spacing w:after="0" w:line="240" w:lineRule="auto"/>
        <w:ind w:left="284"/>
        <w:jc w:val="both"/>
      </w:pPr>
      <w:r>
        <w:rPr>
          <w:rFonts w:eastAsia="Times New Roman"/>
        </w:rPr>
        <w:t>IOB zobowiązane jest do udzielania Operatorowi lub innym uprawnionym organom wszelkich informacji dot. realizacji Projektu, w tym także na temat efektów realizacji umowy wsparcia, także po zakończeniu realizacji umowy wsparcia.</w:t>
      </w:r>
    </w:p>
    <w:p w14:paraId="0147A49D" w14:textId="77777777" w:rsidR="000E2F7D" w:rsidRDefault="000E2F7D" w:rsidP="000E2F7D">
      <w:pPr>
        <w:pStyle w:val="Akapitzlist"/>
        <w:numPr>
          <w:ilvl w:val="0"/>
          <w:numId w:val="5"/>
        </w:numPr>
        <w:tabs>
          <w:tab w:val="left" w:pos="284"/>
        </w:tabs>
        <w:spacing w:after="0" w:line="240" w:lineRule="auto"/>
        <w:ind w:left="284"/>
        <w:jc w:val="both"/>
      </w:pPr>
      <w:r>
        <w:rPr>
          <w:rFonts w:eastAsia="Times New Roman"/>
        </w:rPr>
        <w:t>W wyniku kontroli wydawane są zalecenia pokontrolne, a IOB są zobowiązane do podjęcia w określonym w nich terminie działań naprawczych.</w:t>
      </w:r>
    </w:p>
    <w:p w14:paraId="3482C466" w14:textId="77777777" w:rsidR="000E2F7D" w:rsidRDefault="000E2F7D" w:rsidP="000E2F7D">
      <w:pPr>
        <w:pStyle w:val="Akapitzlist"/>
        <w:numPr>
          <w:ilvl w:val="0"/>
          <w:numId w:val="5"/>
        </w:numPr>
        <w:tabs>
          <w:tab w:val="left" w:pos="284"/>
        </w:tabs>
        <w:spacing w:after="0" w:line="240" w:lineRule="auto"/>
        <w:ind w:left="284"/>
        <w:jc w:val="both"/>
      </w:pPr>
      <w:r>
        <w:rPr>
          <w:rFonts w:eastAsia="Times New Roman"/>
        </w:rPr>
        <w:t>IOB są zobowiązane do przekazywania Operatorowi informacji o kontrolach i audytach przeprowadzonych w ramach umowy wsparcia przez uprawnione instytucje w terminie 7 dni kalendarzowych od daty otrzymania zawiadomienia o kontroli lub audycie oraz ich wynikach w terminie 7 dni kalendarzowych od daty otrzymania dokumentu stwierdzającego ustalenia kontroli lub audytu.</w:t>
      </w:r>
    </w:p>
    <w:p w14:paraId="17B53ABA" w14:textId="77777777" w:rsidR="000E2F7D" w:rsidRDefault="000E2F7D" w:rsidP="000E2F7D">
      <w:pPr>
        <w:pStyle w:val="Akapitzlist"/>
        <w:numPr>
          <w:ilvl w:val="0"/>
          <w:numId w:val="5"/>
        </w:numPr>
        <w:tabs>
          <w:tab w:val="left" w:pos="284"/>
        </w:tabs>
        <w:spacing w:after="0" w:line="240" w:lineRule="auto"/>
        <w:ind w:left="284"/>
        <w:jc w:val="both"/>
      </w:pPr>
      <w:r>
        <w:rPr>
          <w:rFonts w:eastAsia="Times New Roman"/>
        </w:rPr>
        <w:t xml:space="preserve">W przypadku stwierdzenia nieprawidłowości, w tym także po zakończeniu realizacji projektu, IOB ma obowiązek zwrotu środków wraz z odsetkami w wysokości jak dla zaległości podatkowych w terminie 14 dni kalendarzowych po otrzymaniu wezwania. </w:t>
      </w:r>
    </w:p>
    <w:p w14:paraId="1E9A9CFE" w14:textId="77777777" w:rsidR="000E2F7D" w:rsidRDefault="000E2F7D" w:rsidP="000E2F7D">
      <w:pPr>
        <w:tabs>
          <w:tab w:val="left" w:pos="1418"/>
        </w:tabs>
        <w:spacing w:after="0" w:line="240" w:lineRule="auto"/>
        <w:jc w:val="center"/>
        <w:rPr>
          <w:rFonts w:eastAsia="Times New Roman"/>
          <w:b/>
        </w:rPr>
      </w:pPr>
    </w:p>
    <w:p w14:paraId="2C858CEF" w14:textId="77777777" w:rsidR="000E2F7D" w:rsidRDefault="000E2F7D" w:rsidP="000E2F7D">
      <w:pPr>
        <w:spacing w:after="0" w:line="240" w:lineRule="auto"/>
        <w:jc w:val="center"/>
      </w:pPr>
      <w:r>
        <w:rPr>
          <w:rFonts w:eastAsia="Times New Roman"/>
          <w:b/>
        </w:rPr>
        <w:t>§ 6</w:t>
      </w:r>
    </w:p>
    <w:p w14:paraId="1A7C880D" w14:textId="77777777" w:rsidR="000E2F7D" w:rsidRDefault="000E2F7D" w:rsidP="000E2F7D">
      <w:pPr>
        <w:spacing w:after="0" w:line="240" w:lineRule="auto"/>
        <w:jc w:val="center"/>
      </w:pPr>
      <w:r>
        <w:rPr>
          <w:rFonts w:eastAsia="Times New Roman"/>
          <w:b/>
        </w:rPr>
        <w:t>Ochrona danych osobowych</w:t>
      </w:r>
    </w:p>
    <w:p w14:paraId="367C270A" w14:textId="77777777" w:rsidR="000E2F7D" w:rsidRDefault="000E2F7D" w:rsidP="000E2F7D">
      <w:pPr>
        <w:pStyle w:val="Akapitzlist"/>
        <w:numPr>
          <w:ilvl w:val="0"/>
          <w:numId w:val="7"/>
        </w:numPr>
        <w:spacing w:after="0" w:line="240" w:lineRule="auto"/>
        <w:ind w:left="284" w:hanging="284"/>
        <w:jc w:val="both"/>
      </w:pPr>
      <w:r>
        <w:rPr>
          <w:rFonts w:eastAsia="Times New Roman"/>
        </w:rPr>
        <w:t xml:space="preserve">Administratorem danych osobowych IOB jest Opolskie Centrum Rozwoju Gospodarki </w:t>
      </w:r>
      <w:r>
        <w:rPr>
          <w:rFonts w:eastAsia="Times New Roman"/>
        </w:rPr>
        <w:br/>
        <w:t>z siedzibą w Opolu, ul. Krakowska 38.</w:t>
      </w:r>
    </w:p>
    <w:p w14:paraId="53F27154" w14:textId="77777777" w:rsidR="000E2F7D" w:rsidRDefault="000E2F7D" w:rsidP="000E2F7D">
      <w:pPr>
        <w:pStyle w:val="Akapitzlist"/>
        <w:numPr>
          <w:ilvl w:val="0"/>
          <w:numId w:val="7"/>
        </w:numPr>
        <w:spacing w:after="0" w:line="240" w:lineRule="auto"/>
        <w:ind w:left="284" w:hanging="284"/>
        <w:jc w:val="both"/>
      </w:pPr>
      <w:r>
        <w:rPr>
          <w:rFonts w:eastAsia="Times New Roman"/>
        </w:rPr>
        <w:t>Kontakt z Inspektorem Ochrony Danych pod adresem iod@ocrg.opolskie.pl.</w:t>
      </w:r>
    </w:p>
    <w:p w14:paraId="16F278A3" w14:textId="77777777" w:rsidR="000E2F7D" w:rsidRDefault="000E2F7D" w:rsidP="000E2F7D">
      <w:pPr>
        <w:pStyle w:val="Akapitzlist"/>
        <w:numPr>
          <w:ilvl w:val="0"/>
          <w:numId w:val="7"/>
        </w:numPr>
        <w:spacing w:after="0" w:line="240" w:lineRule="auto"/>
        <w:ind w:left="284" w:hanging="284"/>
        <w:jc w:val="both"/>
      </w:pPr>
      <w:r>
        <w:rPr>
          <w:rFonts w:eastAsia="Times New Roman"/>
        </w:rPr>
        <w:t>Dane osobowe IOB przetwarzane będą w celu sprawozdawczości na podstawie art. 6 ust. 1 lit. b ogólnego rozporządzenia o ochronie danych osobowych z dnia 27 kwietnia 2016 r.</w:t>
      </w:r>
    </w:p>
    <w:p w14:paraId="6F0AC5E0" w14:textId="77777777" w:rsidR="000E2F7D" w:rsidRDefault="000E2F7D" w:rsidP="000E2F7D">
      <w:pPr>
        <w:pStyle w:val="Akapitzlist"/>
        <w:numPr>
          <w:ilvl w:val="0"/>
          <w:numId w:val="7"/>
        </w:numPr>
        <w:spacing w:after="0" w:line="240" w:lineRule="auto"/>
        <w:ind w:left="284" w:hanging="284"/>
        <w:jc w:val="both"/>
      </w:pPr>
      <w:r>
        <w:rPr>
          <w:rFonts w:eastAsia="Times New Roman"/>
        </w:rPr>
        <w:t>Odbiorcami danych osobowych IOB będą wyłącznie podmioty uprawnione do uzyskania danych osobowych na podstawie przepisów prawa.</w:t>
      </w:r>
    </w:p>
    <w:p w14:paraId="0B561937" w14:textId="77777777" w:rsidR="000E2F7D" w:rsidRDefault="000E2F7D" w:rsidP="000E2F7D">
      <w:pPr>
        <w:pStyle w:val="Akapitzlist"/>
        <w:numPr>
          <w:ilvl w:val="0"/>
          <w:numId w:val="7"/>
        </w:numPr>
        <w:spacing w:after="0" w:line="240" w:lineRule="auto"/>
        <w:ind w:left="284" w:hanging="284"/>
        <w:jc w:val="both"/>
      </w:pPr>
      <w:r>
        <w:rPr>
          <w:rFonts w:eastAsia="Times New Roman"/>
        </w:rPr>
        <w:t>Dane osobowe IOB przechowywane będą przez okres rozliczenia Regionalnego Programu Operacyjnego Województwa Opolskiego na lata 2014 -2020 oraz zakończenia archiwizowania dokumentacji.</w:t>
      </w:r>
    </w:p>
    <w:p w14:paraId="011209C2" w14:textId="77777777" w:rsidR="000E2F7D" w:rsidRDefault="000E2F7D" w:rsidP="000E2F7D">
      <w:pPr>
        <w:pStyle w:val="Akapitzlist"/>
        <w:numPr>
          <w:ilvl w:val="0"/>
          <w:numId w:val="7"/>
        </w:numPr>
        <w:spacing w:after="0" w:line="240" w:lineRule="auto"/>
        <w:ind w:left="284" w:hanging="284"/>
        <w:jc w:val="both"/>
      </w:pPr>
      <w:r>
        <w:rPr>
          <w:rFonts w:eastAsia="Times New Roman"/>
        </w:rPr>
        <w:t>IOB posiada prawo do żądania od administratora dostępu do danych osobowych, ich sprostowania, usunięcia lub ograniczenia przetwarzania.</w:t>
      </w:r>
    </w:p>
    <w:p w14:paraId="2C0D027D" w14:textId="77777777" w:rsidR="000E2F7D" w:rsidRDefault="000E2F7D" w:rsidP="000E2F7D">
      <w:pPr>
        <w:pStyle w:val="Akapitzlist"/>
        <w:numPr>
          <w:ilvl w:val="0"/>
          <w:numId w:val="7"/>
        </w:numPr>
        <w:spacing w:after="0" w:line="240" w:lineRule="auto"/>
        <w:ind w:left="284" w:hanging="284"/>
        <w:jc w:val="both"/>
      </w:pPr>
      <w:r>
        <w:rPr>
          <w:rFonts w:eastAsia="Times New Roman"/>
        </w:rPr>
        <w:t>IOB ma prawo wniesienia skargi do organu nadzorczego.</w:t>
      </w:r>
    </w:p>
    <w:p w14:paraId="0A2532EE" w14:textId="77777777" w:rsidR="000E2F7D" w:rsidRDefault="000E2F7D" w:rsidP="000E2F7D">
      <w:pPr>
        <w:pStyle w:val="Akapitzlist"/>
        <w:numPr>
          <w:ilvl w:val="0"/>
          <w:numId w:val="7"/>
        </w:numPr>
        <w:spacing w:after="0" w:line="240" w:lineRule="auto"/>
        <w:ind w:left="284" w:hanging="284"/>
        <w:jc w:val="both"/>
      </w:pPr>
      <w:r>
        <w:rPr>
          <w:rFonts w:eastAsia="Times New Roman"/>
        </w:rPr>
        <w:t xml:space="preserve">Podanie przez IOB danych osobowych jest dobrowolne, jednakże odmowa podania danych może skutkować odstąpieniem od realizacji porozumienia o współpracy. </w:t>
      </w:r>
    </w:p>
    <w:p w14:paraId="501F984F" w14:textId="77777777" w:rsidR="000E2F7D" w:rsidRDefault="000E2F7D" w:rsidP="000E2F7D">
      <w:pPr>
        <w:pStyle w:val="Akapitzlist"/>
        <w:numPr>
          <w:ilvl w:val="0"/>
          <w:numId w:val="7"/>
        </w:numPr>
        <w:spacing w:after="0" w:line="240" w:lineRule="auto"/>
        <w:ind w:left="284" w:hanging="284"/>
        <w:jc w:val="both"/>
      </w:pPr>
      <w:r>
        <w:t xml:space="preserve">IOB wyraża zgodę na udostępnienie danych osobowych do celów, o których mowa </w:t>
      </w:r>
      <w:r>
        <w:br/>
        <w:t xml:space="preserve">w ust. 3 na podstawie art. 13 ogólnego rozporządzenia o ochronie danych osobowych z dnia </w:t>
      </w:r>
      <w:r>
        <w:br/>
        <w:t>27 kwietnia 2016 r. (Dz. Urz. UE L 119 z 04.05.2016).</w:t>
      </w:r>
    </w:p>
    <w:p w14:paraId="6722E799" w14:textId="77777777" w:rsidR="000E2F7D" w:rsidRDefault="000E2F7D" w:rsidP="000E2F7D">
      <w:pPr>
        <w:spacing w:after="0" w:line="240" w:lineRule="auto"/>
        <w:jc w:val="center"/>
        <w:rPr>
          <w:rFonts w:eastAsia="Times New Roman"/>
          <w:b/>
        </w:rPr>
      </w:pPr>
    </w:p>
    <w:p w14:paraId="411BD975" w14:textId="77777777" w:rsidR="000E2F7D" w:rsidRDefault="000E2F7D" w:rsidP="000E2F7D">
      <w:pPr>
        <w:spacing w:after="0" w:line="240" w:lineRule="auto"/>
        <w:jc w:val="center"/>
      </w:pPr>
      <w:r>
        <w:rPr>
          <w:rFonts w:eastAsia="Times New Roman"/>
          <w:b/>
        </w:rPr>
        <w:t>§ 7</w:t>
      </w:r>
    </w:p>
    <w:p w14:paraId="64724787" w14:textId="77777777" w:rsidR="000E2F7D" w:rsidRDefault="000E2F7D" w:rsidP="000E2F7D">
      <w:pPr>
        <w:spacing w:after="0" w:line="240" w:lineRule="auto"/>
        <w:jc w:val="center"/>
      </w:pPr>
      <w:r>
        <w:rPr>
          <w:rFonts w:eastAsia="Times New Roman"/>
          <w:b/>
        </w:rPr>
        <w:t>Zmiana postanowienia</w:t>
      </w:r>
    </w:p>
    <w:p w14:paraId="0F2EE0B6" w14:textId="77777777" w:rsidR="000E2F7D" w:rsidRDefault="000E2F7D" w:rsidP="000E2F7D">
      <w:pPr>
        <w:numPr>
          <w:ilvl w:val="0"/>
          <w:numId w:val="1"/>
        </w:numPr>
        <w:tabs>
          <w:tab w:val="left" w:pos="284"/>
        </w:tabs>
        <w:spacing w:after="0" w:line="240" w:lineRule="auto"/>
        <w:ind w:left="284" w:hanging="284"/>
        <w:jc w:val="both"/>
      </w:pPr>
      <w:r>
        <w:rPr>
          <w:rFonts w:eastAsia="Times New Roman"/>
        </w:rPr>
        <w:t>Wszelkie zmiany porozumienia wymagają aneksu w formie pisemnej, pod rygorem nieważności.</w:t>
      </w:r>
    </w:p>
    <w:p w14:paraId="146F515B" w14:textId="77777777" w:rsidR="000E2F7D" w:rsidRDefault="000E2F7D" w:rsidP="000E2F7D">
      <w:pPr>
        <w:numPr>
          <w:ilvl w:val="0"/>
          <w:numId w:val="1"/>
        </w:numPr>
        <w:tabs>
          <w:tab w:val="left" w:pos="284"/>
        </w:tabs>
        <w:spacing w:after="0" w:line="240" w:lineRule="auto"/>
        <w:ind w:left="284" w:hanging="284"/>
        <w:jc w:val="both"/>
      </w:pPr>
      <w:r>
        <w:rPr>
          <w:rFonts w:eastAsia="Times New Roman"/>
        </w:rPr>
        <w:t>Jeżeli wniosek o zmianę porozumienia pochodzi od IOB, musi on zostać przedstawiony Operatorowi nie później niż w terminie 7 dni kalendarzowych przed dniem, w którym zmiana ta powinna wejść w życie.</w:t>
      </w:r>
    </w:p>
    <w:p w14:paraId="0D90BC1F" w14:textId="77777777" w:rsidR="000E2F7D" w:rsidRDefault="000E2F7D" w:rsidP="000E2F7D">
      <w:pPr>
        <w:numPr>
          <w:ilvl w:val="0"/>
          <w:numId w:val="1"/>
        </w:numPr>
        <w:tabs>
          <w:tab w:val="left" w:pos="284"/>
        </w:tabs>
        <w:spacing w:after="0" w:line="240" w:lineRule="auto"/>
        <w:ind w:left="284" w:hanging="284"/>
        <w:jc w:val="both"/>
      </w:pPr>
      <w:r>
        <w:rPr>
          <w:rFonts w:eastAsia="Times New Roman"/>
        </w:rPr>
        <w:t xml:space="preserve">Zasada, o której mowa w ust. 2 nie dotyczy sytuacji, gdy niezachowanie terminu, o którym mowa </w:t>
      </w:r>
      <w:r>
        <w:rPr>
          <w:rFonts w:eastAsia="Times New Roman"/>
        </w:rPr>
        <w:br/>
        <w:t>w ust. 2 nastąpi z przyczyn niezależnych od IOB.</w:t>
      </w:r>
    </w:p>
    <w:p w14:paraId="048D9D40" w14:textId="77777777" w:rsidR="000E2F7D" w:rsidRDefault="000E2F7D" w:rsidP="000E2F7D">
      <w:pPr>
        <w:numPr>
          <w:ilvl w:val="0"/>
          <w:numId w:val="1"/>
        </w:numPr>
        <w:tabs>
          <w:tab w:val="left" w:pos="284"/>
        </w:tabs>
        <w:spacing w:after="0" w:line="240" w:lineRule="auto"/>
        <w:ind w:left="284" w:hanging="284"/>
        <w:jc w:val="both"/>
      </w:pPr>
      <w:r>
        <w:rPr>
          <w:rFonts w:eastAsia="Times New Roman"/>
          <w:szCs w:val="24"/>
        </w:rPr>
        <w:t xml:space="preserve">Obowiązki i prawa wynikające z porozumienia nie mogą być w żadnym wypadku przenoszone na rzecz osoby trzeciej. </w:t>
      </w:r>
    </w:p>
    <w:p w14:paraId="47D64544" w14:textId="77777777" w:rsidR="000E2F7D" w:rsidRDefault="000E2F7D" w:rsidP="000E2F7D">
      <w:pPr>
        <w:spacing w:after="0" w:line="240" w:lineRule="auto"/>
        <w:jc w:val="center"/>
        <w:rPr>
          <w:rFonts w:eastAsia="Times New Roman"/>
          <w:b/>
        </w:rPr>
      </w:pPr>
    </w:p>
    <w:p w14:paraId="022C1135" w14:textId="77777777" w:rsidR="000E2F7D" w:rsidRDefault="000E2F7D" w:rsidP="000E2F7D">
      <w:pPr>
        <w:spacing w:after="0" w:line="240" w:lineRule="auto"/>
        <w:jc w:val="center"/>
      </w:pPr>
      <w:r>
        <w:rPr>
          <w:rFonts w:eastAsia="Times New Roman"/>
          <w:b/>
        </w:rPr>
        <w:t>§ 8</w:t>
      </w:r>
    </w:p>
    <w:p w14:paraId="6F9CC703" w14:textId="77777777" w:rsidR="000E2F7D" w:rsidRDefault="000E2F7D" w:rsidP="000E2F7D">
      <w:pPr>
        <w:spacing w:after="0" w:line="240" w:lineRule="auto"/>
        <w:jc w:val="center"/>
      </w:pPr>
      <w:r>
        <w:rPr>
          <w:rFonts w:eastAsia="Times New Roman"/>
          <w:b/>
        </w:rPr>
        <w:t>Rozwiązanie porozumienia</w:t>
      </w:r>
    </w:p>
    <w:p w14:paraId="6C8BB719" w14:textId="77777777" w:rsidR="000E2F7D" w:rsidRDefault="000E2F7D" w:rsidP="000E2F7D">
      <w:pPr>
        <w:numPr>
          <w:ilvl w:val="0"/>
          <w:numId w:val="3"/>
        </w:numPr>
        <w:spacing w:after="0" w:line="240" w:lineRule="auto"/>
        <w:ind w:left="284" w:hanging="284"/>
        <w:jc w:val="both"/>
      </w:pPr>
      <w:r>
        <w:rPr>
          <w:rFonts w:eastAsia="Times New Roman"/>
          <w:szCs w:val="24"/>
        </w:rPr>
        <w:t xml:space="preserve">Operator może rozwiązać porozumienie ze skutkiem natychmiastowym, w szczególności gdy IOB </w:t>
      </w:r>
      <w:r>
        <w:rPr>
          <w:rFonts w:eastAsia="Times New Roman"/>
        </w:rPr>
        <w:t>nie wykonuje lub wykonuje w sposób nienależyty któregokolwiek ze zobowiązań wynikających z porozumienia, w tym w szczególności w przypadku, gdy IOB:</w:t>
      </w:r>
    </w:p>
    <w:p w14:paraId="46FC3856" w14:textId="77777777" w:rsidR="000E2F7D" w:rsidRDefault="000E2F7D" w:rsidP="000E2F7D">
      <w:pPr>
        <w:pStyle w:val="Akapitzlist"/>
        <w:numPr>
          <w:ilvl w:val="0"/>
          <w:numId w:val="9"/>
        </w:numPr>
        <w:tabs>
          <w:tab w:val="left" w:pos="567"/>
        </w:tabs>
        <w:spacing w:after="0" w:line="240" w:lineRule="auto"/>
        <w:ind w:left="567" w:hanging="283"/>
        <w:jc w:val="both"/>
      </w:pPr>
      <w:r>
        <w:rPr>
          <w:rFonts w:eastAsia="Times New Roman"/>
        </w:rPr>
        <w:t xml:space="preserve">po wykazaniu braków/niezgodności w złożonych dokumentach związanych z realizacją Projektu nie złoży </w:t>
      </w:r>
      <w:r>
        <w:t>poprawionych/uzupełnionych dokumentów lub nie udzieli stosownych wyjaśnień w terminie 10 dni roboczych od otrzymania informacji w tym zakresie,</w:t>
      </w:r>
    </w:p>
    <w:p w14:paraId="550A17A1" w14:textId="77777777" w:rsidR="000E2F7D" w:rsidRDefault="000E2F7D" w:rsidP="000E2F7D">
      <w:pPr>
        <w:pStyle w:val="Akapitzlist"/>
        <w:numPr>
          <w:ilvl w:val="0"/>
          <w:numId w:val="9"/>
        </w:numPr>
        <w:tabs>
          <w:tab w:val="left" w:pos="567"/>
        </w:tabs>
        <w:spacing w:after="0" w:line="240" w:lineRule="auto"/>
        <w:ind w:hanging="436"/>
        <w:jc w:val="both"/>
      </w:pPr>
      <w:r>
        <w:rPr>
          <w:rFonts w:eastAsia="Times New Roman"/>
        </w:rPr>
        <w:t>odmawia poddania się kontroli,</w:t>
      </w:r>
    </w:p>
    <w:p w14:paraId="7F3953E6" w14:textId="77777777" w:rsidR="000E2F7D" w:rsidRDefault="000E2F7D" w:rsidP="000E2F7D">
      <w:pPr>
        <w:pStyle w:val="Akapitzlist"/>
        <w:numPr>
          <w:ilvl w:val="0"/>
          <w:numId w:val="9"/>
        </w:numPr>
        <w:tabs>
          <w:tab w:val="left" w:pos="567"/>
        </w:tabs>
        <w:spacing w:after="0" w:line="240" w:lineRule="auto"/>
        <w:ind w:left="567" w:hanging="283"/>
        <w:jc w:val="both"/>
      </w:pPr>
      <w:r>
        <w:rPr>
          <w:rFonts w:eastAsia="Times New Roman"/>
        </w:rPr>
        <w:t>w celu uzyskania środków przedstawia fałszywe lub nie odpowiadające stanowi faktycznemu lub niepełne oświadczenia lub dokumenty.</w:t>
      </w:r>
    </w:p>
    <w:p w14:paraId="5554ABA5" w14:textId="77777777" w:rsidR="000E2F7D" w:rsidRPr="00495D83" w:rsidRDefault="000E2F7D" w:rsidP="000E2F7D">
      <w:pPr>
        <w:pStyle w:val="Akapitzlist"/>
        <w:numPr>
          <w:ilvl w:val="0"/>
          <w:numId w:val="3"/>
        </w:numPr>
        <w:tabs>
          <w:tab w:val="left" w:pos="567"/>
        </w:tabs>
        <w:spacing w:after="0" w:line="240" w:lineRule="auto"/>
        <w:jc w:val="both"/>
      </w:pPr>
      <w:r>
        <w:rPr>
          <w:rFonts w:eastAsia="Times New Roman"/>
        </w:rPr>
        <w:t>Porozumienie może zostać rozwiązane na mocy porozumienia stron.</w:t>
      </w:r>
    </w:p>
    <w:p w14:paraId="2C49B3FB" w14:textId="77777777" w:rsidR="000E2F7D" w:rsidRDefault="000E2F7D" w:rsidP="000E2F7D">
      <w:pPr>
        <w:pStyle w:val="Akapitzlist"/>
        <w:tabs>
          <w:tab w:val="left" w:pos="567"/>
        </w:tabs>
        <w:spacing w:after="0" w:line="240" w:lineRule="auto"/>
        <w:jc w:val="both"/>
        <w:rPr>
          <w:rFonts w:eastAsia="Times New Roman"/>
        </w:rPr>
      </w:pPr>
    </w:p>
    <w:p w14:paraId="228A7243" w14:textId="77777777" w:rsidR="000E2F7D" w:rsidRDefault="000E2F7D" w:rsidP="000E2F7D">
      <w:pPr>
        <w:pStyle w:val="Akapitzlist"/>
        <w:tabs>
          <w:tab w:val="left" w:pos="567"/>
        </w:tabs>
        <w:spacing w:after="0" w:line="240" w:lineRule="auto"/>
        <w:jc w:val="both"/>
        <w:rPr>
          <w:rFonts w:eastAsia="Times New Roman"/>
        </w:rPr>
      </w:pPr>
    </w:p>
    <w:p w14:paraId="344E3228" w14:textId="77777777" w:rsidR="000E2F7D" w:rsidRDefault="000E2F7D" w:rsidP="000E2F7D">
      <w:pPr>
        <w:pStyle w:val="Akapitzlist"/>
        <w:tabs>
          <w:tab w:val="left" w:pos="567"/>
        </w:tabs>
        <w:spacing w:after="0" w:line="240" w:lineRule="auto"/>
        <w:jc w:val="both"/>
      </w:pPr>
    </w:p>
    <w:p w14:paraId="36E6FCC0" w14:textId="77777777" w:rsidR="000E2F7D" w:rsidRDefault="000E2F7D" w:rsidP="000E2F7D">
      <w:pPr>
        <w:tabs>
          <w:tab w:val="left" w:pos="284"/>
        </w:tabs>
        <w:spacing w:after="0" w:line="240" w:lineRule="auto"/>
        <w:ind w:left="284"/>
        <w:jc w:val="center"/>
      </w:pPr>
      <w:r>
        <w:rPr>
          <w:rFonts w:eastAsia="Times New Roman"/>
          <w:b/>
          <w:szCs w:val="24"/>
        </w:rPr>
        <w:lastRenderedPageBreak/>
        <w:t>§ 9</w:t>
      </w:r>
    </w:p>
    <w:p w14:paraId="567B31E2" w14:textId="77777777" w:rsidR="000E2F7D" w:rsidRDefault="000E2F7D" w:rsidP="000E2F7D">
      <w:pPr>
        <w:tabs>
          <w:tab w:val="left" w:pos="284"/>
        </w:tabs>
        <w:spacing w:after="0" w:line="240" w:lineRule="auto"/>
        <w:ind w:left="284"/>
        <w:jc w:val="center"/>
      </w:pPr>
      <w:r>
        <w:rPr>
          <w:rFonts w:eastAsia="Times New Roman"/>
          <w:b/>
          <w:szCs w:val="24"/>
        </w:rPr>
        <w:t>Korespondencja</w:t>
      </w:r>
    </w:p>
    <w:p w14:paraId="4F3586AA" w14:textId="77777777" w:rsidR="000E2F7D" w:rsidRDefault="000E2F7D" w:rsidP="000E2F7D">
      <w:pPr>
        <w:spacing w:after="0" w:line="240" w:lineRule="auto"/>
        <w:jc w:val="both"/>
      </w:pPr>
      <w:r>
        <w:rPr>
          <w:rFonts w:eastAsia="Times New Roman"/>
          <w:szCs w:val="24"/>
        </w:rPr>
        <w:t>Wszelka korespondencja związana z realizacją porozumienia będzie prowadzona w formie pisemnej. Korespondencja będzie kierowana na poniższe adresy:</w:t>
      </w:r>
    </w:p>
    <w:p w14:paraId="537C003F" w14:textId="77777777" w:rsidR="000E2F7D" w:rsidRDefault="000E2F7D" w:rsidP="000E2F7D">
      <w:pPr>
        <w:numPr>
          <w:ilvl w:val="1"/>
          <w:numId w:val="3"/>
        </w:numPr>
        <w:tabs>
          <w:tab w:val="left" w:pos="284"/>
        </w:tabs>
        <w:spacing w:after="0" w:line="240" w:lineRule="auto"/>
      </w:pPr>
      <w:r>
        <w:rPr>
          <w:rFonts w:eastAsia="Times New Roman"/>
          <w:b/>
          <w:szCs w:val="24"/>
        </w:rPr>
        <w:t>do Operatora: Opolskie Centrum Rozwoju Gospodarki, ul. Krakowska 38, 45-075 Opole</w:t>
      </w:r>
    </w:p>
    <w:p w14:paraId="57225E95" w14:textId="77777777" w:rsidR="000E2F7D" w:rsidRDefault="000E2F7D" w:rsidP="000E2F7D">
      <w:pPr>
        <w:tabs>
          <w:tab w:val="left" w:pos="284"/>
        </w:tabs>
        <w:spacing w:after="0" w:line="240" w:lineRule="auto"/>
        <w:ind w:left="284"/>
        <w:jc w:val="both"/>
      </w:pPr>
      <w:r>
        <w:rPr>
          <w:rFonts w:cs="Calibri"/>
          <w:b/>
          <w:szCs w:val="24"/>
        </w:rPr>
        <w:t xml:space="preserve">                                                                   </w:t>
      </w:r>
    </w:p>
    <w:p w14:paraId="5C9350F8" w14:textId="77777777" w:rsidR="000E2F7D" w:rsidRDefault="000E2F7D" w:rsidP="000E2F7D">
      <w:pPr>
        <w:numPr>
          <w:ilvl w:val="1"/>
          <w:numId w:val="3"/>
        </w:numPr>
        <w:tabs>
          <w:tab w:val="left" w:pos="284"/>
        </w:tabs>
        <w:spacing w:after="0" w:line="240" w:lineRule="auto"/>
        <w:jc w:val="both"/>
      </w:pPr>
      <w:r>
        <w:rPr>
          <w:rFonts w:eastAsia="Times New Roman"/>
          <w:b/>
          <w:szCs w:val="24"/>
        </w:rPr>
        <w:t>do IOB: …………………………………………………………………………………………………………</w:t>
      </w:r>
    </w:p>
    <w:p w14:paraId="1A9627F1" w14:textId="77777777" w:rsidR="000E2F7D" w:rsidRDefault="000E2F7D" w:rsidP="000E2F7D">
      <w:pPr>
        <w:spacing w:after="0" w:line="240" w:lineRule="auto"/>
        <w:ind w:left="238"/>
        <w:jc w:val="center"/>
        <w:rPr>
          <w:rFonts w:eastAsia="Times New Roman"/>
          <w:b/>
          <w:szCs w:val="24"/>
        </w:rPr>
      </w:pPr>
    </w:p>
    <w:p w14:paraId="0D8706F8" w14:textId="77777777" w:rsidR="000E2F7D" w:rsidRDefault="000E2F7D" w:rsidP="000E2F7D">
      <w:pPr>
        <w:spacing w:after="0" w:line="240" w:lineRule="auto"/>
        <w:ind w:left="238"/>
        <w:jc w:val="center"/>
      </w:pPr>
      <w:r>
        <w:rPr>
          <w:rFonts w:eastAsia="Times New Roman"/>
          <w:b/>
        </w:rPr>
        <w:t>§ 10</w:t>
      </w:r>
    </w:p>
    <w:p w14:paraId="10231756" w14:textId="77777777" w:rsidR="000E2F7D" w:rsidRDefault="000E2F7D" w:rsidP="000E2F7D">
      <w:pPr>
        <w:spacing w:after="0" w:line="240" w:lineRule="auto"/>
        <w:ind w:left="238"/>
        <w:jc w:val="center"/>
      </w:pPr>
      <w:r>
        <w:rPr>
          <w:rFonts w:eastAsia="Times New Roman"/>
          <w:b/>
        </w:rPr>
        <w:t>Postanowienia końcowe</w:t>
      </w:r>
    </w:p>
    <w:p w14:paraId="2D42FD69" w14:textId="77777777" w:rsidR="000E2F7D" w:rsidRDefault="000E2F7D" w:rsidP="000E2F7D">
      <w:pPr>
        <w:numPr>
          <w:ilvl w:val="0"/>
          <w:numId w:val="8"/>
        </w:numPr>
        <w:tabs>
          <w:tab w:val="left" w:pos="284"/>
        </w:tabs>
        <w:spacing w:after="0" w:line="240" w:lineRule="auto"/>
        <w:ind w:left="284" w:right="-57" w:hanging="284"/>
        <w:jc w:val="both"/>
      </w:pPr>
      <w:r>
        <w:rPr>
          <w:rFonts w:eastAsia="Times New Roman"/>
        </w:rPr>
        <w:t>W sprawach nieuregulowanych porozumieniem zastosowanie mają odpowiednie reguły i zasady wynikające z  Regionalnego Programu  Operacyjnego Województwa Opolskiego na lata 2014-2020, a także odpowiednie przepisy prawa Unii Europejskiej, w szczególności:</w:t>
      </w:r>
    </w:p>
    <w:p w14:paraId="7E005D56" w14:textId="77777777" w:rsidR="000E2F7D" w:rsidRDefault="000E2F7D" w:rsidP="000E2F7D">
      <w:pPr>
        <w:numPr>
          <w:ilvl w:val="0"/>
          <w:numId w:val="6"/>
        </w:numPr>
        <w:spacing w:after="0" w:line="240" w:lineRule="auto"/>
        <w:ind w:left="567" w:right="-57" w:hanging="283"/>
        <w:contextualSpacing/>
        <w:jc w:val="both"/>
      </w:pPr>
      <w:r>
        <w:rPr>
          <w:rFonts w:eastAsia="Times New Roman"/>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w:t>
      </w:r>
      <w:r>
        <w:rPr>
          <w:rFonts w:eastAsia="Times New Roman"/>
        </w:rPr>
        <w:br/>
        <w:t>z 20.12.2013, str. 320)</w:t>
      </w:r>
    </w:p>
    <w:p w14:paraId="6F09B549" w14:textId="77777777" w:rsidR="000E2F7D" w:rsidRDefault="000E2F7D" w:rsidP="000E2F7D">
      <w:pPr>
        <w:numPr>
          <w:ilvl w:val="0"/>
          <w:numId w:val="6"/>
        </w:numPr>
        <w:spacing w:after="0" w:line="240" w:lineRule="auto"/>
        <w:ind w:left="567" w:right="-57" w:hanging="283"/>
        <w:contextualSpacing/>
        <w:jc w:val="both"/>
      </w:pPr>
      <w:r>
        <w:rPr>
          <w:rFonts w:eastAsia="Times New Roman"/>
        </w:rPr>
        <w:t>Rozporządzenie delegowane Komisji (UE) nr 480/2014 z dnia 3 marca 2014 r. uzupełniającego rozporządzenie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(Dz. Urz. UE L 138 z 13.5.2014, str. 5)</w:t>
      </w:r>
    </w:p>
    <w:p w14:paraId="627C93E6" w14:textId="77777777" w:rsidR="000E2F7D" w:rsidRDefault="000E2F7D" w:rsidP="000E2F7D">
      <w:pPr>
        <w:spacing w:after="0" w:line="240" w:lineRule="auto"/>
        <w:ind w:left="284" w:right="-57"/>
        <w:contextualSpacing/>
        <w:jc w:val="both"/>
      </w:pPr>
      <w:r>
        <w:rPr>
          <w:rFonts w:eastAsia="Times New Roman"/>
        </w:rPr>
        <w:t>oraz właściwe akty prawa krajowego, w szczególności:</w:t>
      </w:r>
    </w:p>
    <w:p w14:paraId="6042CB6D" w14:textId="77777777" w:rsidR="000E2F7D" w:rsidRDefault="000E2F7D" w:rsidP="000E2F7D">
      <w:pPr>
        <w:numPr>
          <w:ilvl w:val="0"/>
          <w:numId w:val="6"/>
        </w:numPr>
        <w:spacing w:after="0" w:line="240" w:lineRule="auto"/>
        <w:ind w:left="567" w:right="-57" w:hanging="283"/>
        <w:contextualSpacing/>
        <w:jc w:val="both"/>
      </w:pPr>
      <w:r>
        <w:rPr>
          <w:rFonts w:eastAsia="Times New Roman"/>
        </w:rPr>
        <w:t xml:space="preserve">Ustawa z dnia 23 kwietnia 1964 r. – Kodeks cywilny (tj. Dz.U. z 2020 r., poz. 1740 z </w:t>
      </w:r>
      <w:proofErr w:type="spellStart"/>
      <w:r>
        <w:rPr>
          <w:rFonts w:eastAsia="Times New Roman"/>
        </w:rPr>
        <w:t>późn</w:t>
      </w:r>
      <w:proofErr w:type="spellEnd"/>
      <w:r>
        <w:rPr>
          <w:rFonts w:eastAsia="Times New Roman"/>
        </w:rPr>
        <w:t>. zm.</w:t>
      </w:r>
    </w:p>
    <w:p w14:paraId="7D82EB83" w14:textId="31D3F27E" w:rsidR="000E2F7D" w:rsidRDefault="000E2F7D" w:rsidP="000E2F7D">
      <w:pPr>
        <w:numPr>
          <w:ilvl w:val="0"/>
          <w:numId w:val="6"/>
        </w:numPr>
        <w:spacing w:after="0" w:line="240" w:lineRule="auto"/>
        <w:ind w:left="567" w:right="-57" w:hanging="283"/>
        <w:contextualSpacing/>
        <w:jc w:val="both"/>
      </w:pPr>
      <w:r>
        <w:rPr>
          <w:rFonts w:eastAsia="Times New Roman"/>
        </w:rPr>
        <w:t>Ustawa z dnia 27 sierpnia 2009 r. o finansach publicznych (</w:t>
      </w:r>
      <w:proofErr w:type="spellStart"/>
      <w:r>
        <w:rPr>
          <w:rFonts w:eastAsia="Times New Roman"/>
        </w:rPr>
        <w:t>t.j</w:t>
      </w:r>
      <w:proofErr w:type="spellEnd"/>
      <w:r>
        <w:rPr>
          <w:rFonts w:eastAsia="Times New Roman"/>
        </w:rPr>
        <w:t xml:space="preserve">. Dz. U. z 2021 r., poz. 305 z </w:t>
      </w:r>
      <w:proofErr w:type="spellStart"/>
      <w:r>
        <w:rPr>
          <w:rFonts w:eastAsia="Times New Roman"/>
        </w:rPr>
        <w:t>pó</w:t>
      </w:r>
      <w:r w:rsidR="00C81C17">
        <w:rPr>
          <w:rFonts w:eastAsia="Times New Roman"/>
        </w:rPr>
        <w:t>ź</w:t>
      </w:r>
      <w:r>
        <w:rPr>
          <w:rFonts w:eastAsia="Times New Roman"/>
        </w:rPr>
        <w:t>n</w:t>
      </w:r>
      <w:proofErr w:type="spellEnd"/>
      <w:r>
        <w:rPr>
          <w:rFonts w:eastAsia="Times New Roman"/>
        </w:rPr>
        <w:t>. zm.,</w:t>
      </w:r>
    </w:p>
    <w:p w14:paraId="2291F568" w14:textId="77777777" w:rsidR="000E2F7D" w:rsidRDefault="000E2F7D" w:rsidP="000E2F7D">
      <w:pPr>
        <w:numPr>
          <w:ilvl w:val="0"/>
          <w:numId w:val="6"/>
        </w:numPr>
        <w:spacing w:after="0" w:line="240" w:lineRule="auto"/>
        <w:ind w:left="567" w:right="-57" w:hanging="283"/>
        <w:contextualSpacing/>
        <w:jc w:val="both"/>
      </w:pPr>
      <w:r>
        <w:rPr>
          <w:rFonts w:eastAsia="Times New Roman"/>
        </w:rPr>
        <w:t>Ustawa z dnia 11 lipca 2014 r. o zasadach realizacji programów w zakresie polityki spójności finansowanych w perspektywie finansowej 2014-2020 (</w:t>
      </w:r>
      <w:proofErr w:type="spellStart"/>
      <w:r>
        <w:rPr>
          <w:rFonts w:eastAsia="Times New Roman"/>
        </w:rPr>
        <w:t>t.j</w:t>
      </w:r>
      <w:proofErr w:type="spellEnd"/>
      <w:r>
        <w:rPr>
          <w:rFonts w:eastAsia="Times New Roman"/>
        </w:rPr>
        <w:t xml:space="preserve">. Dz. U. z 2020 r., poz. 818 z </w:t>
      </w:r>
      <w:proofErr w:type="spellStart"/>
      <w:r>
        <w:rPr>
          <w:rFonts w:eastAsia="Times New Roman"/>
        </w:rPr>
        <w:t>późn</w:t>
      </w:r>
      <w:proofErr w:type="spellEnd"/>
      <w:r>
        <w:rPr>
          <w:rFonts w:eastAsia="Times New Roman"/>
        </w:rPr>
        <w:t>. zm.) ,</w:t>
      </w:r>
    </w:p>
    <w:p w14:paraId="54805126" w14:textId="13279E83" w:rsidR="000E2F7D" w:rsidRDefault="000E2F7D" w:rsidP="000E2F7D">
      <w:pPr>
        <w:numPr>
          <w:ilvl w:val="0"/>
          <w:numId w:val="6"/>
        </w:numPr>
        <w:spacing w:after="0" w:line="240" w:lineRule="auto"/>
        <w:ind w:left="567" w:right="-57" w:hanging="283"/>
        <w:contextualSpacing/>
        <w:jc w:val="both"/>
      </w:pPr>
      <w:r>
        <w:rPr>
          <w:rFonts w:eastAsia="Times New Roman"/>
        </w:rPr>
        <w:t>Ustawa z dnia 11 września 2019 r.</w:t>
      </w:r>
      <w:r w:rsidR="00C81C17">
        <w:rPr>
          <w:rFonts w:eastAsia="Times New Roman"/>
        </w:rPr>
        <w:t xml:space="preserve"> Prawo zamówień publicznych</w:t>
      </w:r>
      <w:r>
        <w:rPr>
          <w:rFonts w:eastAsia="Times New Roman"/>
        </w:rPr>
        <w:t xml:space="preserve"> (</w:t>
      </w:r>
      <w:proofErr w:type="spellStart"/>
      <w:r>
        <w:rPr>
          <w:rFonts w:eastAsia="Times New Roman"/>
        </w:rPr>
        <w:t>t.j</w:t>
      </w:r>
      <w:proofErr w:type="spellEnd"/>
      <w:r>
        <w:rPr>
          <w:rFonts w:eastAsia="Times New Roman"/>
        </w:rPr>
        <w:t xml:space="preserve">. Dz. U. z 2021 r., poz. 1129 z </w:t>
      </w:r>
      <w:proofErr w:type="spellStart"/>
      <w:r>
        <w:rPr>
          <w:rFonts w:eastAsia="Times New Roman"/>
        </w:rPr>
        <w:t>późn</w:t>
      </w:r>
      <w:proofErr w:type="spellEnd"/>
      <w:r>
        <w:rPr>
          <w:rFonts w:eastAsia="Times New Roman"/>
        </w:rPr>
        <w:t>. zm.),</w:t>
      </w:r>
    </w:p>
    <w:p w14:paraId="59B60BC0" w14:textId="77777777" w:rsidR="000E2F7D" w:rsidRDefault="000E2F7D" w:rsidP="000E2F7D">
      <w:pPr>
        <w:numPr>
          <w:ilvl w:val="0"/>
          <w:numId w:val="6"/>
        </w:numPr>
        <w:spacing w:after="0" w:line="240" w:lineRule="auto"/>
        <w:ind w:left="567" w:right="-57" w:hanging="283"/>
        <w:contextualSpacing/>
        <w:jc w:val="both"/>
      </w:pPr>
      <w:r>
        <w:rPr>
          <w:rFonts w:eastAsia="Times New Roman"/>
        </w:rPr>
        <w:t xml:space="preserve">Rozporządzenie Ministra Infrastruktury i Rozwoju z dnia 19 marca 2015 r. w sprawie udzielania pomocy de </w:t>
      </w:r>
      <w:proofErr w:type="spellStart"/>
      <w:r>
        <w:rPr>
          <w:rFonts w:eastAsia="Times New Roman"/>
        </w:rPr>
        <w:t>minimis</w:t>
      </w:r>
      <w:proofErr w:type="spellEnd"/>
      <w:r>
        <w:rPr>
          <w:rFonts w:eastAsia="Times New Roman"/>
        </w:rPr>
        <w:t xml:space="preserve"> w ramach regionalnych programów operacyjnych na lata 2014-2020, (</w:t>
      </w:r>
      <w:proofErr w:type="spellStart"/>
      <w:r>
        <w:rPr>
          <w:rFonts w:eastAsia="Times New Roman"/>
        </w:rPr>
        <w:t>t.j</w:t>
      </w:r>
      <w:proofErr w:type="spellEnd"/>
      <w:r>
        <w:rPr>
          <w:rFonts w:eastAsia="Times New Roman"/>
        </w:rPr>
        <w:t>. Dz. U. z 2021 r., poz. 900),</w:t>
      </w:r>
    </w:p>
    <w:p w14:paraId="37EDA2A3" w14:textId="77777777" w:rsidR="000E2F7D" w:rsidRDefault="000E2F7D" w:rsidP="000E2F7D">
      <w:pPr>
        <w:numPr>
          <w:ilvl w:val="0"/>
          <w:numId w:val="6"/>
        </w:numPr>
        <w:spacing w:after="0" w:line="240" w:lineRule="auto"/>
        <w:ind w:left="567" w:right="-57" w:hanging="283"/>
        <w:contextualSpacing/>
        <w:jc w:val="both"/>
      </w:pPr>
      <w:r>
        <w:rPr>
          <w:rFonts w:eastAsia="Times New Roman"/>
        </w:rPr>
        <w:t xml:space="preserve">Rozporządzenie Ministra Infrastruktury i Rozwoju z dnia 3 września  2015 r. w sprawie udzielania regionalnej pomocy inwestycyjnej w ramach celu tematycznego 3 w zakresie wzmacniania konkurencyjności mikroprzedsiębiorstw, małych i średnich przedsiębiorstw </w:t>
      </w:r>
      <w:r>
        <w:rPr>
          <w:rFonts w:eastAsia="Times New Roman"/>
        </w:rPr>
        <w:br/>
        <w:t>w ramach regionalnych programów operacyjnych na lata 2014-2020  (</w:t>
      </w:r>
      <w:proofErr w:type="spellStart"/>
      <w:r>
        <w:rPr>
          <w:rFonts w:eastAsia="Times New Roman"/>
        </w:rPr>
        <w:t>t.j</w:t>
      </w:r>
      <w:proofErr w:type="spellEnd"/>
      <w:r>
        <w:rPr>
          <w:rFonts w:eastAsia="Times New Roman"/>
        </w:rPr>
        <w:t>. Dz. U. z 2021 r., poz. 1447),</w:t>
      </w:r>
    </w:p>
    <w:p w14:paraId="3285118B" w14:textId="77777777" w:rsidR="000E2F7D" w:rsidRDefault="000E2F7D" w:rsidP="000E2F7D">
      <w:pPr>
        <w:numPr>
          <w:ilvl w:val="0"/>
          <w:numId w:val="6"/>
        </w:numPr>
        <w:spacing w:after="0" w:line="240" w:lineRule="auto"/>
        <w:ind w:left="567" w:right="-57" w:hanging="283"/>
        <w:contextualSpacing/>
        <w:jc w:val="both"/>
      </w:pPr>
      <w:r>
        <w:rPr>
          <w:rFonts w:eastAsia="Times New Roman"/>
        </w:rPr>
        <w:t xml:space="preserve">Rozporządzenie Ministra Infrastruktury i Rozwoju z dnia 3 września 2015 r. w sprawie udzielania pomocy </w:t>
      </w:r>
      <w:proofErr w:type="spellStart"/>
      <w:r>
        <w:rPr>
          <w:rFonts w:eastAsia="Times New Roman"/>
        </w:rPr>
        <w:t>mikroprzedsiębiorcom</w:t>
      </w:r>
      <w:proofErr w:type="spellEnd"/>
      <w:r>
        <w:rPr>
          <w:rFonts w:eastAsia="Times New Roman"/>
        </w:rPr>
        <w:t xml:space="preserve">, małym i średnim przedsiębiorcom na usługi doradcze oraz udział </w:t>
      </w:r>
      <w:r>
        <w:rPr>
          <w:rFonts w:eastAsia="Times New Roman"/>
        </w:rPr>
        <w:lastRenderedPageBreak/>
        <w:t xml:space="preserve">w targach w ramach regionalnych programów operacyjnych na lata </w:t>
      </w:r>
      <w:r>
        <w:rPr>
          <w:rFonts w:eastAsia="Times New Roman"/>
        </w:rPr>
        <w:br/>
        <w:t>2014-2020 (Dz. U. z 2015 r., poz. 1417)</w:t>
      </w:r>
    </w:p>
    <w:p w14:paraId="35FEE287" w14:textId="77777777" w:rsidR="000E2F7D" w:rsidRDefault="000E2F7D" w:rsidP="000E2F7D">
      <w:pPr>
        <w:numPr>
          <w:ilvl w:val="0"/>
          <w:numId w:val="6"/>
        </w:numPr>
        <w:spacing w:after="0" w:line="240" w:lineRule="auto"/>
        <w:ind w:left="567" w:right="-57" w:hanging="283"/>
        <w:contextualSpacing/>
        <w:jc w:val="both"/>
      </w:pPr>
      <w:r>
        <w:rPr>
          <w:rFonts w:eastAsia="Times New Roman"/>
        </w:rPr>
        <w:t>Rozporządzenie Komisji (UE) nr 651/2014 z dnia 17 czerwca 2014 r. uznające niektóre rodzaje pomocy za zgodne z rynkiem wewnętrznym w zastosowaniu art. 107 108 Traktatu,</w:t>
      </w:r>
    </w:p>
    <w:p w14:paraId="0E453781" w14:textId="77777777" w:rsidR="000E2F7D" w:rsidRDefault="000E2F7D" w:rsidP="000E2F7D">
      <w:pPr>
        <w:numPr>
          <w:ilvl w:val="0"/>
          <w:numId w:val="6"/>
        </w:numPr>
        <w:spacing w:after="0" w:line="240" w:lineRule="auto"/>
        <w:ind w:left="567" w:right="-57" w:hanging="283"/>
        <w:contextualSpacing/>
        <w:jc w:val="both"/>
      </w:pPr>
      <w:r>
        <w:rPr>
          <w:rFonts w:eastAsia="Times New Roman"/>
        </w:rPr>
        <w:t>Przepisy dotyczące szczegółowego przeznaczenia, warunków i trybu udzielania pomocy finansowej przy korzystaniu podczas realizacji Projektu ze środków stanowiących pomoc publiczną</w:t>
      </w:r>
    </w:p>
    <w:p w14:paraId="106EF6E7" w14:textId="77777777" w:rsidR="000E2F7D" w:rsidRDefault="000E2F7D" w:rsidP="000E2F7D">
      <w:pPr>
        <w:numPr>
          <w:ilvl w:val="0"/>
          <w:numId w:val="4"/>
        </w:numPr>
        <w:spacing w:after="0" w:line="240" w:lineRule="auto"/>
        <w:ind w:left="284" w:right="-57" w:hanging="284"/>
        <w:contextualSpacing/>
        <w:jc w:val="both"/>
      </w:pPr>
      <w:r>
        <w:rPr>
          <w:rFonts w:eastAsia="Times New Roman"/>
        </w:rPr>
        <w:t>Spory związane z realizacją porozumienia strony będą starały się rozwiązać polubownie</w:t>
      </w:r>
    </w:p>
    <w:p w14:paraId="0C02C7C0" w14:textId="77777777" w:rsidR="000E2F7D" w:rsidRDefault="000E2F7D" w:rsidP="000E2F7D">
      <w:pPr>
        <w:numPr>
          <w:ilvl w:val="0"/>
          <w:numId w:val="4"/>
        </w:numPr>
        <w:tabs>
          <w:tab w:val="left" w:pos="284"/>
        </w:tabs>
        <w:spacing w:after="0" w:line="240" w:lineRule="auto"/>
        <w:ind w:left="284" w:right="-57" w:hanging="284"/>
        <w:jc w:val="both"/>
      </w:pPr>
      <w:r>
        <w:rPr>
          <w:rFonts w:eastAsia="Times New Roman"/>
          <w:szCs w:val="24"/>
        </w:rPr>
        <w:t xml:space="preserve">W przypadku braku porozumienia spór będzie podlegał rozstrzygnięciu przez sąd powszechny </w:t>
      </w:r>
      <w:r>
        <w:rPr>
          <w:rFonts w:eastAsia="Times New Roman"/>
        </w:rPr>
        <w:t>właściwy dla siedziby Operatora.</w:t>
      </w:r>
    </w:p>
    <w:p w14:paraId="61B5BD55" w14:textId="77777777" w:rsidR="000E2F7D" w:rsidRDefault="000E2F7D" w:rsidP="000E2F7D">
      <w:pPr>
        <w:numPr>
          <w:ilvl w:val="0"/>
          <w:numId w:val="4"/>
        </w:numPr>
        <w:tabs>
          <w:tab w:val="left" w:pos="284"/>
        </w:tabs>
        <w:spacing w:after="0" w:line="240" w:lineRule="auto"/>
        <w:ind w:left="284" w:right="-57" w:hanging="284"/>
        <w:jc w:val="both"/>
      </w:pPr>
      <w:r>
        <w:rPr>
          <w:rFonts w:eastAsia="Times New Roman"/>
          <w:szCs w:val="24"/>
        </w:rPr>
        <w:t>Porozumienie sporządzono w dwóch jednobrzmiących egzemplarzach – po  jednym dla każdej ze Stron.</w:t>
      </w:r>
    </w:p>
    <w:p w14:paraId="142D42A5" w14:textId="77777777" w:rsidR="000E2F7D" w:rsidRDefault="000E2F7D" w:rsidP="000E2F7D">
      <w:pPr>
        <w:spacing w:after="0" w:line="240" w:lineRule="auto"/>
        <w:ind w:left="181"/>
        <w:jc w:val="center"/>
        <w:rPr>
          <w:rFonts w:eastAsia="Times New Roman"/>
          <w:b/>
        </w:rPr>
      </w:pPr>
    </w:p>
    <w:p w14:paraId="27626279" w14:textId="77777777" w:rsidR="000E2F7D" w:rsidRDefault="000E2F7D" w:rsidP="000E2F7D">
      <w:pPr>
        <w:spacing w:after="0" w:line="240" w:lineRule="auto"/>
        <w:ind w:left="284"/>
        <w:rPr>
          <w:rFonts w:eastAsia="Times New Roman"/>
          <w:b/>
        </w:rPr>
      </w:pPr>
    </w:p>
    <w:p w14:paraId="04688E15" w14:textId="77777777" w:rsidR="000E2F7D" w:rsidRDefault="000E2F7D" w:rsidP="000E2F7D">
      <w:pPr>
        <w:spacing w:after="0" w:line="240" w:lineRule="auto"/>
        <w:ind w:left="284"/>
        <w:rPr>
          <w:rFonts w:eastAsia="Times New Roman"/>
        </w:rPr>
      </w:pPr>
    </w:p>
    <w:p w14:paraId="3A1F721A" w14:textId="77777777" w:rsidR="000E2F7D" w:rsidRDefault="000E2F7D" w:rsidP="000E2F7D">
      <w:pPr>
        <w:spacing w:after="0" w:line="240" w:lineRule="auto"/>
        <w:ind w:left="284"/>
        <w:rPr>
          <w:rFonts w:eastAsia="Times New Roman"/>
        </w:rPr>
      </w:pPr>
    </w:p>
    <w:p w14:paraId="63692B4E" w14:textId="77777777" w:rsidR="000E2F7D" w:rsidRDefault="000E2F7D" w:rsidP="000E2F7D">
      <w:pPr>
        <w:spacing w:after="0" w:line="240" w:lineRule="auto"/>
        <w:ind w:left="284"/>
        <w:rPr>
          <w:rFonts w:eastAsia="Times New Roman"/>
        </w:rPr>
      </w:pPr>
    </w:p>
    <w:p w14:paraId="54AF43B3" w14:textId="77777777" w:rsidR="000E2F7D" w:rsidRDefault="000E2F7D" w:rsidP="000E2F7D">
      <w:pPr>
        <w:spacing w:after="0" w:line="240" w:lineRule="auto"/>
        <w:ind w:left="284"/>
        <w:rPr>
          <w:rFonts w:eastAsia="Times New Roman"/>
        </w:rPr>
      </w:pPr>
    </w:p>
    <w:tbl>
      <w:tblPr>
        <w:tblW w:w="0" w:type="auto"/>
        <w:tblLayout w:type="fixed"/>
        <w:tblLook w:val="0000" w:firstRow="0" w:lastRow="0" w:firstColumn="0" w:lastColumn="0" w:noHBand="0" w:noVBand="0"/>
      </w:tblPr>
      <w:tblGrid>
        <w:gridCol w:w="4606"/>
        <w:gridCol w:w="4606"/>
      </w:tblGrid>
      <w:tr w:rsidR="000E2F7D" w14:paraId="3F0BE031" w14:textId="77777777" w:rsidTr="00495D83">
        <w:tc>
          <w:tcPr>
            <w:tcW w:w="4606" w:type="dxa"/>
            <w:shd w:val="clear" w:color="auto" w:fill="auto"/>
          </w:tcPr>
          <w:p w14:paraId="62C5073D" w14:textId="77777777" w:rsidR="000E2F7D" w:rsidRDefault="000E2F7D" w:rsidP="00495D83">
            <w:pPr>
              <w:spacing w:after="0" w:line="240" w:lineRule="auto"/>
              <w:jc w:val="center"/>
            </w:pPr>
            <w:r>
              <w:rPr>
                <w:rFonts w:eastAsia="Times New Roman"/>
              </w:rPr>
              <w:t>IOB</w:t>
            </w:r>
          </w:p>
          <w:p w14:paraId="3BB38780" w14:textId="77777777" w:rsidR="000E2F7D" w:rsidRDefault="000E2F7D" w:rsidP="00495D83">
            <w:pPr>
              <w:spacing w:after="0" w:line="240" w:lineRule="auto"/>
              <w:jc w:val="center"/>
              <w:rPr>
                <w:rFonts w:eastAsia="Times New Roman"/>
              </w:rPr>
            </w:pPr>
          </w:p>
          <w:p w14:paraId="71621941" w14:textId="77777777" w:rsidR="000E2F7D" w:rsidRDefault="000E2F7D" w:rsidP="00495D83">
            <w:pPr>
              <w:spacing w:after="0" w:line="240" w:lineRule="auto"/>
              <w:jc w:val="center"/>
              <w:rPr>
                <w:rFonts w:eastAsia="Times New Roman"/>
              </w:rPr>
            </w:pPr>
          </w:p>
          <w:p w14:paraId="5B6FD80F" w14:textId="77777777" w:rsidR="000E2F7D" w:rsidRDefault="000E2F7D" w:rsidP="00495D83">
            <w:pPr>
              <w:spacing w:after="0" w:line="240" w:lineRule="auto"/>
              <w:jc w:val="center"/>
            </w:pPr>
            <w:r>
              <w:rPr>
                <w:rFonts w:eastAsia="Times New Roman"/>
              </w:rPr>
              <w:t>................................................................</w:t>
            </w:r>
          </w:p>
          <w:p w14:paraId="6CC0A49E" w14:textId="77777777" w:rsidR="000E2F7D" w:rsidRDefault="000E2F7D" w:rsidP="00495D83">
            <w:pPr>
              <w:spacing w:after="0" w:line="240" w:lineRule="auto"/>
              <w:jc w:val="center"/>
            </w:pPr>
            <w:r>
              <w:rPr>
                <w:rFonts w:eastAsia="Times New Roman"/>
                <w:i/>
                <w:sz w:val="20"/>
                <w:szCs w:val="20"/>
              </w:rPr>
              <w:t>(podpis)</w:t>
            </w:r>
          </w:p>
        </w:tc>
        <w:tc>
          <w:tcPr>
            <w:tcW w:w="4606" w:type="dxa"/>
            <w:shd w:val="clear" w:color="auto" w:fill="auto"/>
          </w:tcPr>
          <w:p w14:paraId="35783431" w14:textId="77777777" w:rsidR="000E2F7D" w:rsidRDefault="000E2F7D" w:rsidP="00495D83">
            <w:pPr>
              <w:spacing w:after="0" w:line="240" w:lineRule="auto"/>
              <w:jc w:val="center"/>
            </w:pPr>
            <w:r>
              <w:rPr>
                <w:rFonts w:eastAsia="Times New Roman"/>
              </w:rPr>
              <w:t>Operator</w:t>
            </w:r>
          </w:p>
          <w:p w14:paraId="5F76F9C4" w14:textId="77777777" w:rsidR="000E2F7D" w:rsidRDefault="000E2F7D" w:rsidP="00495D83">
            <w:pPr>
              <w:spacing w:after="0" w:line="240" w:lineRule="auto"/>
              <w:jc w:val="center"/>
              <w:rPr>
                <w:rFonts w:eastAsia="Times New Roman"/>
              </w:rPr>
            </w:pPr>
          </w:p>
          <w:p w14:paraId="7258B65B" w14:textId="77777777" w:rsidR="000E2F7D" w:rsidRDefault="000E2F7D" w:rsidP="00495D83">
            <w:pPr>
              <w:spacing w:after="0" w:line="240" w:lineRule="auto"/>
              <w:jc w:val="center"/>
              <w:rPr>
                <w:rFonts w:eastAsia="Times New Roman"/>
              </w:rPr>
            </w:pPr>
          </w:p>
          <w:p w14:paraId="5058BF50" w14:textId="77777777" w:rsidR="000E2F7D" w:rsidRDefault="000E2F7D" w:rsidP="00495D83">
            <w:pPr>
              <w:spacing w:after="0" w:line="240" w:lineRule="auto"/>
              <w:ind w:left="4950" w:hanging="4950"/>
              <w:jc w:val="center"/>
            </w:pPr>
            <w:r>
              <w:rPr>
                <w:rFonts w:eastAsia="Times New Roman"/>
              </w:rPr>
              <w:t>................................................................</w:t>
            </w:r>
          </w:p>
          <w:p w14:paraId="77B03C72" w14:textId="77777777" w:rsidR="000E2F7D" w:rsidRDefault="000E2F7D" w:rsidP="00495D83">
            <w:pPr>
              <w:spacing w:after="0" w:line="240" w:lineRule="auto"/>
              <w:jc w:val="center"/>
            </w:pPr>
            <w:r>
              <w:rPr>
                <w:rFonts w:eastAsia="Times New Roman"/>
                <w:i/>
                <w:sz w:val="20"/>
                <w:szCs w:val="20"/>
              </w:rPr>
              <w:t>(podpis)</w:t>
            </w:r>
          </w:p>
        </w:tc>
      </w:tr>
    </w:tbl>
    <w:p w14:paraId="45A49E87" w14:textId="77777777" w:rsidR="000E2F7D" w:rsidRDefault="000E2F7D" w:rsidP="000E2F7D">
      <w:pPr>
        <w:spacing w:after="0" w:line="240" w:lineRule="auto"/>
      </w:pPr>
    </w:p>
    <w:p w14:paraId="3F4E861E" w14:textId="77777777" w:rsidR="00AD5C70" w:rsidRDefault="00AD5C70"/>
    <w:sectPr w:rsidR="00AD5C70">
      <w:footerReference w:type="default" r:id="rId8"/>
      <w:foot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F5F48" w14:textId="77777777" w:rsidR="00000000" w:rsidRDefault="00C81C17">
      <w:pPr>
        <w:spacing w:after="0" w:line="240" w:lineRule="auto"/>
      </w:pPr>
      <w:r>
        <w:separator/>
      </w:r>
    </w:p>
  </w:endnote>
  <w:endnote w:type="continuationSeparator" w:id="0">
    <w:p w14:paraId="2E12726A" w14:textId="77777777" w:rsidR="00000000" w:rsidRDefault="00C81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MT">
    <w:charset w:val="EE"/>
    <w:family w:val="swiss"/>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E16AE" w14:textId="77777777" w:rsidR="0016046C" w:rsidRDefault="000E2F7D">
    <w:pPr>
      <w:tabs>
        <w:tab w:val="center" w:pos="4536"/>
        <w:tab w:val="right" w:pos="9072"/>
      </w:tabs>
      <w:spacing w:after="0" w:line="240" w:lineRule="auto"/>
      <w:jc w:val="center"/>
    </w:pPr>
    <w:r>
      <w:rPr>
        <w:rFonts w:ascii="Times New Roman" w:eastAsia="Times New Roman" w:hAnsi="Times New Roman"/>
        <w:b/>
        <w:i/>
        <w:sz w:val="16"/>
        <w:szCs w:val="16"/>
      </w:rPr>
      <w:t xml:space="preserve">Operator voucherów zwiększających konkurencyjność MSP działających w obszarze inteligentnych specjalizacji </w:t>
    </w:r>
    <w:r>
      <w:rPr>
        <w:rFonts w:ascii="Times New Roman" w:eastAsia="Times New Roman" w:hAnsi="Times New Roman"/>
        <w:b/>
        <w:i/>
        <w:sz w:val="16"/>
        <w:szCs w:val="16"/>
      </w:rPr>
      <w:br/>
      <w:t>na terenie województwa opolskiego</w:t>
    </w:r>
  </w:p>
  <w:p w14:paraId="0CD8E50F" w14:textId="77777777" w:rsidR="0016046C" w:rsidRDefault="000E2F7D">
    <w:pPr>
      <w:tabs>
        <w:tab w:val="center" w:pos="4536"/>
        <w:tab w:val="right" w:pos="9072"/>
      </w:tabs>
      <w:spacing w:after="0" w:line="240" w:lineRule="auto"/>
      <w:jc w:val="center"/>
    </w:pPr>
    <w:r>
      <w:rPr>
        <w:rFonts w:ascii="Times New Roman" w:eastAsia="Times New Roman" w:hAnsi="Times New Roman"/>
        <w:i/>
        <w:sz w:val="16"/>
        <w:szCs w:val="16"/>
      </w:rPr>
      <w:t>Projekt współfinansowany  przez Unię Europejską w ramach  Europejskiego Funduszu Rozwoju Regionalnego</w:t>
    </w:r>
  </w:p>
  <w:p w14:paraId="77D82DBD" w14:textId="532690D4" w:rsidR="0016046C" w:rsidRDefault="000E2F7D">
    <w:pPr>
      <w:tabs>
        <w:tab w:val="center" w:pos="4536"/>
        <w:tab w:val="right" w:pos="9072"/>
      </w:tabs>
      <w:spacing w:after="0" w:line="240" w:lineRule="auto"/>
      <w:rPr>
        <w:rFonts w:ascii="Times New Roman" w:eastAsia="Times New Roman" w:hAnsi="Times New Roman"/>
        <w:i/>
        <w:sz w:val="16"/>
        <w:szCs w:val="24"/>
        <w:lang w:eastAsia="pl-PL"/>
      </w:rPr>
    </w:pPr>
    <w:r>
      <w:rPr>
        <w:noProof/>
      </w:rPr>
      <mc:AlternateContent>
        <mc:Choice Requires="wps">
          <w:drawing>
            <wp:anchor distT="0" distB="0" distL="114300" distR="114300" simplePos="0" relativeHeight="251659264" behindDoc="1" locked="0" layoutInCell="1" allowOverlap="1" wp14:anchorId="783C1FD5" wp14:editId="64BA1E3A">
              <wp:simplePos x="0" y="0"/>
              <wp:positionH relativeFrom="column">
                <wp:posOffset>652780</wp:posOffset>
              </wp:positionH>
              <wp:positionV relativeFrom="paragraph">
                <wp:posOffset>45085</wp:posOffset>
              </wp:positionV>
              <wp:extent cx="4438650" cy="635"/>
              <wp:effectExtent l="5080" t="6985" r="13970" b="114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8650" cy="635"/>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C46D38" id="Łącznik prosty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4pt,3.55pt" to="400.9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" strokeweight=".26mm">
              <v:stroke joinstyle="miter" endcap="square"/>
            </v:line>
          </w:pict>
        </mc:Fallback>
      </mc:AlternateContent>
    </w:r>
  </w:p>
  <w:p w14:paraId="3B5F9BD4" w14:textId="77777777" w:rsidR="0016046C" w:rsidRDefault="000E2F7D">
    <w:pPr>
      <w:tabs>
        <w:tab w:val="center" w:pos="4536"/>
        <w:tab w:val="right" w:pos="9072"/>
      </w:tabs>
      <w:spacing w:after="0" w:line="240" w:lineRule="auto"/>
      <w:jc w:val="center"/>
    </w:pPr>
    <w:r>
      <w:rPr>
        <w:rFonts w:ascii="Times New Roman" w:eastAsia="Times New Roman" w:hAnsi="Times New Roman"/>
        <w:sz w:val="16"/>
        <w:szCs w:val="24"/>
      </w:rPr>
      <w:t>Opolskie Centrum Rozwoju Gospodarki  ul. Krakowska 38, 45-075 Opole , tel. 77 40 33 600</w:t>
    </w:r>
  </w:p>
  <w:p w14:paraId="5DE9EAB5" w14:textId="77777777" w:rsidR="0016046C" w:rsidRDefault="000E2F7D">
    <w:pPr>
      <w:tabs>
        <w:tab w:val="left" w:pos="952"/>
        <w:tab w:val="center" w:pos="4536"/>
        <w:tab w:val="right" w:pos="9072"/>
      </w:tabs>
      <w:spacing w:after="0" w:line="240" w:lineRule="auto"/>
    </w:pPr>
    <w:r>
      <w:rPr>
        <w:rFonts w:ascii="Times New Roman" w:eastAsia="Times New Roman" w:hAnsi="Times New Roman"/>
        <w:sz w:val="16"/>
        <w:szCs w:val="24"/>
      </w:rPr>
      <w:tab/>
    </w:r>
    <w:r>
      <w:rPr>
        <w:rFonts w:ascii="Times New Roman" w:eastAsia="Times New Roman" w:hAnsi="Times New Roman"/>
        <w:sz w:val="16"/>
        <w:szCs w:val="24"/>
      </w:rPr>
      <w:tab/>
      <w:t>www.ocrg.opolskie.pl</w:t>
    </w:r>
  </w:p>
  <w:p w14:paraId="71DE01A9" w14:textId="77777777" w:rsidR="0016046C" w:rsidRDefault="00C81C17">
    <w:pPr>
      <w:spacing w:after="0" w:line="276" w:lineRule="auto"/>
      <w:jc w:val="both"/>
      <w:rPr>
        <w:rFonts w:ascii="Times New Roman" w:eastAsia="Times New Roman" w:hAnsi="Times New Roman"/>
        <w:sz w:val="16"/>
        <w:szCs w:val="24"/>
        <w:lang w:eastAsia="en-US"/>
      </w:rPr>
    </w:pPr>
  </w:p>
  <w:p w14:paraId="6CF29D6A" w14:textId="77777777" w:rsidR="0016046C" w:rsidRDefault="00C81C17">
    <w:pPr>
      <w:pStyle w:val="Stopka"/>
      <w:rPr>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225F1" w14:textId="77777777" w:rsidR="0016046C" w:rsidRDefault="00C81C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C25FB" w14:textId="77777777" w:rsidR="00000000" w:rsidRDefault="00C81C17">
      <w:pPr>
        <w:spacing w:after="0" w:line="240" w:lineRule="auto"/>
      </w:pPr>
      <w:r>
        <w:separator/>
      </w:r>
    </w:p>
  </w:footnote>
  <w:footnote w:type="continuationSeparator" w:id="0">
    <w:p w14:paraId="294FD105" w14:textId="77777777" w:rsidR="00000000" w:rsidRDefault="00C81C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eastAsia="Times New Roman" w:cs="Times New Roman"/>
        <w:szCs w:val="24"/>
      </w:rPr>
    </w:lvl>
  </w:abstractNum>
  <w:abstractNum w:abstractNumId="1" w15:restartNumberingAfterBreak="0">
    <w:nsid w:val="00000002"/>
    <w:multiLevelType w:val="singleLevel"/>
    <w:tmpl w:val="00000002"/>
    <w:name w:val="WW8Num5"/>
    <w:lvl w:ilvl="0">
      <w:start w:val="1"/>
      <w:numFmt w:val="decimal"/>
      <w:lvlText w:val="%1."/>
      <w:lvlJc w:val="left"/>
      <w:pPr>
        <w:tabs>
          <w:tab w:val="num" w:pos="720"/>
        </w:tabs>
        <w:ind w:left="720" w:hanging="360"/>
      </w:pPr>
      <w:rPr>
        <w:rFonts w:cs="Times New Roman"/>
        <w:b/>
        <w:i w:val="0"/>
      </w:rPr>
    </w:lvl>
  </w:abstractNum>
  <w:abstractNum w:abstractNumId="2" w15:restartNumberingAfterBreak="0">
    <w:nsid w:val="00000003"/>
    <w:multiLevelType w:val="multilevel"/>
    <w:tmpl w:val="00000003"/>
    <w:name w:val="WW8Num7"/>
    <w:lvl w:ilvl="0">
      <w:start w:val="1"/>
      <w:numFmt w:val="decimal"/>
      <w:lvlText w:val="%1."/>
      <w:lvlJc w:val="left"/>
      <w:pPr>
        <w:tabs>
          <w:tab w:val="num" w:pos="360"/>
        </w:tabs>
        <w:ind w:left="360" w:hanging="360"/>
      </w:pPr>
      <w:rPr>
        <w:rFonts w:eastAsia="Times New Roman" w:cs="Times New Roman"/>
      </w:rPr>
    </w:lvl>
    <w:lvl w:ilvl="1">
      <w:start w:val="1"/>
      <w:numFmt w:val="decimal"/>
      <w:lvlText w:val="%2)"/>
      <w:lvlJc w:val="left"/>
      <w:pPr>
        <w:tabs>
          <w:tab w:val="num" w:pos="1440"/>
        </w:tabs>
        <w:ind w:left="1440" w:hanging="360"/>
      </w:pPr>
      <w:rPr>
        <w:rFonts w:eastAsia="Times New Roman" w:cs="Times New Roman"/>
        <w:b/>
        <w:color w:val="auto"/>
        <w:szCs w:val="24"/>
      </w:rPr>
    </w:lvl>
    <w:lvl w:ilvl="2">
      <w:start w:val="2"/>
      <w:numFmt w:val="decimal"/>
      <w:lvlText w:val="%3)"/>
      <w:lvlJc w:val="left"/>
      <w:pPr>
        <w:tabs>
          <w:tab w:val="num" w:pos="2450"/>
        </w:tabs>
        <w:ind w:left="2450" w:hanging="360"/>
      </w:pPr>
      <w:rPr>
        <w:rFonts w:eastAsia="Times New Roman" w:cs="Times New Roman"/>
      </w:rPr>
    </w:lvl>
    <w:lvl w:ilvl="3">
      <w:start w:val="3"/>
      <w:numFmt w:val="decimal"/>
      <w:lvlText w:val="%4)"/>
      <w:lvlJc w:val="left"/>
      <w:pPr>
        <w:tabs>
          <w:tab w:val="num" w:pos="2880"/>
        </w:tabs>
        <w:ind w:left="2880" w:hanging="360"/>
      </w:pPr>
      <w:rPr>
        <w:rFonts w:eastAsia="Times New Roman" w:cs="Times New Roman"/>
      </w:rPr>
    </w:lvl>
    <w:lvl w:ilvl="4">
      <w:start w:val="4"/>
      <w:numFmt w:val="decimal"/>
      <w:lvlText w:val="%5)"/>
      <w:lvlJc w:val="left"/>
      <w:pPr>
        <w:tabs>
          <w:tab w:val="num" w:pos="3600"/>
        </w:tabs>
        <w:ind w:left="3600" w:hanging="360"/>
      </w:pPr>
      <w:rPr>
        <w:rFonts w:eastAsia="Times New Roman" w:cs="Times New Roman"/>
      </w:rPr>
    </w:lvl>
    <w:lvl w:ilvl="5">
      <w:start w:val="1"/>
      <w:numFmt w:val="lowerRoman"/>
      <w:lvlText w:val="%6."/>
      <w:lvlJc w:val="left"/>
      <w:pPr>
        <w:tabs>
          <w:tab w:val="num" w:pos="4320"/>
        </w:tabs>
        <w:ind w:left="4320" w:hanging="180"/>
      </w:pPr>
      <w:rPr>
        <w:rFonts w:eastAsia="Times New Roman" w:cs="Times New Roman"/>
      </w:rPr>
    </w:lvl>
    <w:lvl w:ilvl="6">
      <w:start w:val="1"/>
      <w:numFmt w:val="decimal"/>
      <w:lvlText w:val="%7."/>
      <w:lvlJc w:val="left"/>
      <w:pPr>
        <w:tabs>
          <w:tab w:val="num" w:pos="5040"/>
        </w:tabs>
        <w:ind w:left="5040" w:hanging="360"/>
      </w:pPr>
      <w:rPr>
        <w:rFonts w:eastAsia="Times New Roman" w:cs="Times New Roman"/>
      </w:rPr>
    </w:lvl>
    <w:lvl w:ilvl="7">
      <w:start w:val="1"/>
      <w:numFmt w:val="lowerLetter"/>
      <w:lvlText w:val="%8."/>
      <w:lvlJc w:val="left"/>
      <w:pPr>
        <w:tabs>
          <w:tab w:val="num" w:pos="5760"/>
        </w:tabs>
        <w:ind w:left="5760" w:hanging="360"/>
      </w:pPr>
      <w:rPr>
        <w:rFonts w:eastAsia="Times New Roman" w:cs="Times New Roman"/>
      </w:rPr>
    </w:lvl>
    <w:lvl w:ilvl="8">
      <w:start w:val="1"/>
      <w:numFmt w:val="lowerRoman"/>
      <w:lvlText w:val="%9."/>
      <w:lvlJc w:val="left"/>
      <w:pPr>
        <w:tabs>
          <w:tab w:val="num" w:pos="6480"/>
        </w:tabs>
        <w:ind w:left="6480" w:hanging="180"/>
      </w:pPr>
      <w:rPr>
        <w:rFonts w:eastAsia="Times New Roman" w:cs="Times New Roman"/>
      </w:rPr>
    </w:lvl>
  </w:abstractNum>
  <w:abstractNum w:abstractNumId="3" w15:restartNumberingAfterBreak="0">
    <w:nsid w:val="00000004"/>
    <w:multiLevelType w:val="multilevel"/>
    <w:tmpl w:val="00000004"/>
    <w:name w:val="WW8Num10"/>
    <w:lvl w:ilvl="0">
      <w:start w:val="2"/>
      <w:numFmt w:val="decimal"/>
      <w:lvlText w:val="%1."/>
      <w:lvlJc w:val="left"/>
      <w:pPr>
        <w:tabs>
          <w:tab w:val="num" w:pos="1080"/>
        </w:tabs>
        <w:ind w:left="1080" w:hanging="360"/>
      </w:pPr>
      <w:rPr>
        <w:rFonts w:ascii="Calibri" w:eastAsia="Times New Roman" w:hAnsi="Calibri" w:cs="Times New Roman" w:hint="default"/>
        <w:i w:val="0"/>
        <w:color w:val="auto"/>
        <w:sz w:val="22"/>
        <w:szCs w:val="22"/>
      </w:rPr>
    </w:lvl>
    <w:lvl w:ilvl="1">
      <w:start w:val="1"/>
      <w:numFmt w:val="decimal"/>
      <w:lvlText w:val="%2)"/>
      <w:lvlJc w:val="center"/>
      <w:pPr>
        <w:tabs>
          <w:tab w:val="num" w:pos="143"/>
        </w:tabs>
        <w:ind w:left="1211" w:hanging="360"/>
      </w:pPr>
      <w:rPr>
        <w:rFonts w:cs="Mangal"/>
        <w:i w:val="0"/>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5"/>
    <w:multiLevelType w:val="singleLevel"/>
    <w:tmpl w:val="00000005"/>
    <w:name w:val="WW8Num14"/>
    <w:lvl w:ilvl="0">
      <w:start w:val="1"/>
      <w:numFmt w:val="decimal"/>
      <w:lvlText w:val="%1."/>
      <w:lvlJc w:val="left"/>
      <w:pPr>
        <w:tabs>
          <w:tab w:val="num" w:pos="0"/>
        </w:tabs>
        <w:ind w:left="720" w:hanging="360"/>
      </w:pPr>
      <w:rPr>
        <w:rFonts w:eastAsia="Times New Roman"/>
      </w:rPr>
    </w:lvl>
  </w:abstractNum>
  <w:abstractNum w:abstractNumId="5" w15:restartNumberingAfterBreak="0">
    <w:nsid w:val="00000006"/>
    <w:multiLevelType w:val="singleLevel"/>
    <w:tmpl w:val="00000006"/>
    <w:name w:val="WW8Num15"/>
    <w:lvl w:ilvl="0">
      <w:start w:val="1"/>
      <w:numFmt w:val="decimal"/>
      <w:lvlText w:val="%1)"/>
      <w:lvlJc w:val="left"/>
      <w:pPr>
        <w:tabs>
          <w:tab w:val="num" w:pos="0"/>
        </w:tabs>
        <w:ind w:left="1490" w:hanging="360"/>
      </w:pPr>
      <w:rPr>
        <w:rFonts w:eastAsia="Times New Roman"/>
      </w:rPr>
    </w:lvl>
  </w:abstractNum>
  <w:abstractNum w:abstractNumId="6" w15:restartNumberingAfterBreak="0">
    <w:nsid w:val="00000007"/>
    <w:multiLevelType w:val="singleLevel"/>
    <w:tmpl w:val="00000007"/>
    <w:name w:val="WW8Num16"/>
    <w:lvl w:ilvl="0">
      <w:start w:val="1"/>
      <w:numFmt w:val="decimal"/>
      <w:lvlText w:val="%1."/>
      <w:lvlJc w:val="left"/>
      <w:pPr>
        <w:tabs>
          <w:tab w:val="num" w:pos="0"/>
        </w:tabs>
        <w:ind w:left="720" w:hanging="360"/>
      </w:pPr>
      <w:rPr>
        <w:rFonts w:eastAsia="Times New Roman"/>
        <w:b w:val="0"/>
        <w:i w:val="0"/>
      </w:rPr>
    </w:lvl>
  </w:abstractNum>
  <w:abstractNum w:abstractNumId="7" w15:restartNumberingAfterBreak="0">
    <w:nsid w:val="00000008"/>
    <w:multiLevelType w:val="singleLevel"/>
    <w:tmpl w:val="00000008"/>
    <w:name w:val="WW8Num19"/>
    <w:lvl w:ilvl="0">
      <w:start w:val="1"/>
      <w:numFmt w:val="decimal"/>
      <w:lvlText w:val="%1."/>
      <w:lvlJc w:val="left"/>
      <w:pPr>
        <w:tabs>
          <w:tab w:val="num" w:pos="720"/>
        </w:tabs>
        <w:ind w:left="720" w:hanging="360"/>
      </w:pPr>
      <w:rPr>
        <w:rFonts w:eastAsia="Times New Roman" w:cs="Times New Roman" w:hint="default"/>
      </w:rPr>
    </w:lvl>
  </w:abstractNum>
  <w:abstractNum w:abstractNumId="8" w15:restartNumberingAfterBreak="0">
    <w:nsid w:val="00000009"/>
    <w:multiLevelType w:val="singleLevel"/>
    <w:tmpl w:val="00000009"/>
    <w:name w:val="WW8Num24"/>
    <w:lvl w:ilvl="0">
      <w:start w:val="1"/>
      <w:numFmt w:val="decimal"/>
      <w:lvlText w:val="%1)"/>
      <w:lvlJc w:val="left"/>
      <w:pPr>
        <w:tabs>
          <w:tab w:val="num" w:pos="708"/>
        </w:tabs>
        <w:ind w:left="720" w:hanging="360"/>
      </w:pPr>
      <w:rPr>
        <w:rFonts w:eastAsia="Times New Roman"/>
      </w:rPr>
    </w:lvl>
  </w:abstractNum>
  <w:abstractNum w:abstractNumId="9" w15:restartNumberingAfterBreak="0">
    <w:nsid w:val="0000000A"/>
    <w:multiLevelType w:val="singleLevel"/>
    <w:tmpl w:val="0000000A"/>
    <w:name w:val="WW8Num32"/>
    <w:lvl w:ilvl="0">
      <w:start w:val="1"/>
      <w:numFmt w:val="decimal"/>
      <w:lvlText w:val="%1."/>
      <w:lvlJc w:val="left"/>
      <w:pPr>
        <w:tabs>
          <w:tab w:val="num" w:pos="0"/>
        </w:tabs>
        <w:ind w:left="720" w:hanging="360"/>
      </w:pPr>
      <w:rPr>
        <w:rFonts w:cs="ArialMT"/>
      </w:rPr>
    </w:lvl>
  </w:abstractNum>
  <w:abstractNum w:abstractNumId="10" w15:restartNumberingAfterBreak="0">
    <w:nsid w:val="0000000B"/>
    <w:multiLevelType w:val="singleLevel"/>
    <w:tmpl w:val="0000000B"/>
    <w:name w:val="WW8Num34"/>
    <w:lvl w:ilvl="0">
      <w:start w:val="1"/>
      <w:numFmt w:val="decimal"/>
      <w:lvlText w:val="%1."/>
      <w:lvlJc w:val="left"/>
      <w:pPr>
        <w:tabs>
          <w:tab w:val="num" w:pos="0"/>
        </w:tabs>
        <w:ind w:left="720" w:hanging="360"/>
      </w:pPr>
      <w:rPr>
        <w:rFonts w:eastAsia="Times New Roman"/>
      </w:rPr>
    </w:lvl>
  </w:abstractNum>
  <w:abstractNum w:abstractNumId="11" w15:restartNumberingAfterBreak="0">
    <w:nsid w:val="0000000C"/>
    <w:multiLevelType w:val="singleLevel"/>
    <w:tmpl w:val="0000000C"/>
    <w:name w:val="WW8Num36"/>
    <w:lvl w:ilvl="0">
      <w:start w:val="1"/>
      <w:numFmt w:val="decimal"/>
      <w:lvlText w:val="%1."/>
      <w:lvlJc w:val="left"/>
      <w:pPr>
        <w:tabs>
          <w:tab w:val="num" w:pos="0"/>
        </w:tabs>
        <w:ind w:left="720" w:hanging="360"/>
      </w:pPr>
      <w:rPr>
        <w:rFonts w:ascii="Calibri" w:eastAsia="Times New Roman" w:hAnsi="Calibri" w:cs="Calibri" w:hint="default"/>
        <w:b w:val="0"/>
        <w:sz w:val="20"/>
        <w:szCs w:val="20"/>
      </w:rPr>
    </w:lvl>
  </w:abstractNum>
  <w:abstractNum w:abstractNumId="12" w15:restartNumberingAfterBreak="0">
    <w:nsid w:val="0000000D"/>
    <w:multiLevelType w:val="singleLevel"/>
    <w:tmpl w:val="0000000D"/>
    <w:name w:val="WW8Num39"/>
    <w:lvl w:ilvl="0">
      <w:start w:val="1"/>
      <w:numFmt w:val="decimal"/>
      <w:lvlText w:val="%1)"/>
      <w:lvlJc w:val="left"/>
      <w:pPr>
        <w:tabs>
          <w:tab w:val="num" w:pos="0"/>
        </w:tabs>
        <w:ind w:left="1440" w:hanging="360"/>
      </w:pPr>
      <w:rPr>
        <w:rFonts w:eastAsia="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F7D"/>
    <w:rsid w:val="000E2F7D"/>
    <w:rsid w:val="00AD5C70"/>
    <w:rsid w:val="00C81C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F9289"/>
  <w15:chartTrackingRefBased/>
  <w15:docId w15:val="{8FAEE550-C5FB-41CE-9B3C-DD771BCEA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E2F7D"/>
    <w:pPr>
      <w:suppressAutoHyphens/>
      <w:spacing w:line="256" w:lineRule="auto"/>
    </w:pPr>
    <w:rPr>
      <w:rFonts w:ascii="Calibri" w:eastAsia="Calibri" w:hAnsi="Calibri" w:cs="Times New Roman"/>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0E2F7D"/>
    <w:pPr>
      <w:ind w:left="720"/>
      <w:contextualSpacing/>
    </w:pPr>
  </w:style>
  <w:style w:type="paragraph" w:customStyle="1" w:styleId="Nagwek2">
    <w:name w:val="Nagłówek #2"/>
    <w:basedOn w:val="Normalny"/>
    <w:rsid w:val="000E2F7D"/>
    <w:pPr>
      <w:widowControl w:val="0"/>
      <w:shd w:val="clear" w:color="auto" w:fill="FFFFFF"/>
      <w:spacing w:before="240" w:after="240" w:line="0" w:lineRule="atLeast"/>
      <w:jc w:val="center"/>
    </w:pPr>
    <w:rPr>
      <w:rFonts w:ascii="Times New Roman" w:eastAsia="Times New Roman" w:hAnsi="Times New Roman"/>
      <w:b/>
      <w:bCs/>
      <w:sz w:val="20"/>
      <w:szCs w:val="20"/>
      <w:lang w:val="x-none"/>
    </w:rPr>
  </w:style>
  <w:style w:type="paragraph" w:styleId="Stopka">
    <w:name w:val="footer"/>
    <w:basedOn w:val="Normalny"/>
    <w:link w:val="StopkaZnak"/>
    <w:rsid w:val="000E2F7D"/>
    <w:pPr>
      <w:spacing w:after="0" w:line="240" w:lineRule="auto"/>
    </w:pPr>
  </w:style>
  <w:style w:type="character" w:customStyle="1" w:styleId="StopkaZnak">
    <w:name w:val="Stopka Znak"/>
    <w:basedOn w:val="Domylnaczcionkaakapitu"/>
    <w:link w:val="Stopka"/>
    <w:rsid w:val="000E2F7D"/>
    <w:rPr>
      <w:rFonts w:ascii="Calibri" w:eastAsia="Calibri" w:hAnsi="Calibri" w:cs="Times New Roman"/>
      <w:lang w:eastAsia="zh-CN"/>
    </w:rPr>
  </w:style>
  <w:style w:type="character" w:styleId="Odwoaniedokomentarza">
    <w:name w:val="annotation reference"/>
    <w:uiPriority w:val="99"/>
    <w:semiHidden/>
    <w:unhideWhenUsed/>
    <w:rsid w:val="000E2F7D"/>
    <w:rPr>
      <w:sz w:val="16"/>
      <w:szCs w:val="16"/>
    </w:rPr>
  </w:style>
  <w:style w:type="paragraph" w:styleId="Tekstkomentarza">
    <w:name w:val="annotation text"/>
    <w:basedOn w:val="Normalny"/>
    <w:link w:val="TekstkomentarzaZnak1"/>
    <w:uiPriority w:val="99"/>
    <w:semiHidden/>
    <w:unhideWhenUsed/>
    <w:rsid w:val="000E2F7D"/>
    <w:rPr>
      <w:sz w:val="20"/>
      <w:szCs w:val="20"/>
    </w:rPr>
  </w:style>
  <w:style w:type="character" w:customStyle="1" w:styleId="TekstkomentarzaZnak">
    <w:name w:val="Tekst komentarza Znak"/>
    <w:basedOn w:val="Domylnaczcionkaakapitu"/>
    <w:uiPriority w:val="99"/>
    <w:semiHidden/>
    <w:rsid w:val="000E2F7D"/>
    <w:rPr>
      <w:rFonts w:ascii="Calibri" w:eastAsia="Calibri" w:hAnsi="Calibri" w:cs="Times New Roman"/>
      <w:sz w:val="20"/>
      <w:szCs w:val="20"/>
      <w:lang w:eastAsia="zh-CN"/>
    </w:rPr>
  </w:style>
  <w:style w:type="character" w:customStyle="1" w:styleId="TekstkomentarzaZnak1">
    <w:name w:val="Tekst komentarza Znak1"/>
    <w:link w:val="Tekstkomentarza"/>
    <w:uiPriority w:val="99"/>
    <w:semiHidden/>
    <w:rsid w:val="000E2F7D"/>
    <w:rPr>
      <w:rFonts w:ascii="Calibri" w:eastAsia="Calibri" w:hAnsi="Calibri"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2207</Words>
  <Characters>13245</Characters>
  <Application>Microsoft Office Word</Application>
  <DocSecurity>0</DocSecurity>
  <Lines>110</Lines>
  <Paragraphs>30</Paragraphs>
  <ScaleCrop>false</ScaleCrop>
  <Company/>
  <LinksUpToDate>false</LinksUpToDate>
  <CharactersWithSpaces>15422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Czuba</dc:creator>
  <cp:keywords/>
  <dc:description/>
  <cp:lastModifiedBy>Sylwia Czuba</cp:lastModifiedBy>
  <cp:revision>2</cp:revision>
  <cp:lastPrinted>2021-10-05T10:41:00Z</cp:lastPrinted>
  <dcterms:created xsi:type="dcterms:W3CDTF">2021-10-04T06:47:00Z</dcterms:created>
  <dcterms:modified xsi:type="dcterms:W3CDTF">2021-10-05T10:41:00Z</dcterms:modified>
</cp:coreProperties>
</file>