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80E77" w14:textId="77777777" w:rsidR="000167EE" w:rsidRDefault="00EE0272" w:rsidP="00EB00A4">
      <w:pPr>
        <w:rPr>
          <w:b/>
          <w:color w:val="000099"/>
          <w:sz w:val="36"/>
          <w:szCs w:val="36"/>
        </w:rPr>
      </w:pPr>
      <w:r w:rsidRPr="00EE0272">
        <w:rPr>
          <w:b/>
          <w:noProof/>
          <w:color w:val="000099"/>
          <w:sz w:val="36"/>
          <w:szCs w:val="36"/>
          <w:lang w:eastAsia="pl-PL"/>
        </w:rPr>
        <w:drawing>
          <wp:inline distT="0" distB="0" distL="0" distR="0" wp14:anchorId="7F79F611" wp14:editId="48942D91">
            <wp:extent cx="7562850" cy="771525"/>
            <wp:effectExtent l="0" t="0" r="0" b="952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Default="00893CF0" w:rsidP="00EB00A4">
      <w:pPr>
        <w:rPr>
          <w:b/>
          <w:color w:val="000099"/>
          <w:sz w:val="36"/>
          <w:szCs w:val="36"/>
        </w:rPr>
      </w:pPr>
    </w:p>
    <w:p w14:paraId="0868E45D" w14:textId="77777777" w:rsidR="00893CF0" w:rsidRDefault="00893CF0" w:rsidP="00EB00A4">
      <w:pPr>
        <w:rPr>
          <w:b/>
          <w:color w:val="000099"/>
          <w:sz w:val="36"/>
          <w:szCs w:val="36"/>
        </w:rPr>
      </w:pPr>
    </w:p>
    <w:p w14:paraId="3B62187E" w14:textId="77777777" w:rsidR="00BA3BB9" w:rsidRDefault="00BA3BB9" w:rsidP="00EB00A4">
      <w:pPr>
        <w:spacing w:after="0" w:line="360" w:lineRule="auto"/>
        <w:rPr>
          <w:b/>
          <w:color w:val="000099"/>
          <w:sz w:val="36"/>
          <w:szCs w:val="36"/>
        </w:rPr>
      </w:pPr>
      <w:r>
        <w:rPr>
          <w:b/>
          <w:color w:val="000099"/>
          <w:sz w:val="36"/>
          <w:szCs w:val="36"/>
        </w:rPr>
        <w:t>ZAŁĄCZNIK NR 9</w:t>
      </w:r>
    </w:p>
    <w:p w14:paraId="3D525F92" w14:textId="44B8C7DE" w:rsidR="00BA3BB9" w:rsidRDefault="00BA3BB9" w:rsidP="00EB00A4">
      <w:pPr>
        <w:spacing w:after="0" w:line="360" w:lineRule="auto"/>
        <w:rPr>
          <w:b/>
          <w:color w:val="000099"/>
          <w:sz w:val="36"/>
          <w:szCs w:val="36"/>
        </w:rPr>
      </w:pPr>
      <w:r w:rsidRPr="00421306">
        <w:rPr>
          <w:b/>
          <w:color w:val="000099"/>
          <w:sz w:val="36"/>
          <w:szCs w:val="36"/>
        </w:rPr>
        <w:t>Lista wskaźników na poziomie projektu</w:t>
      </w:r>
    </w:p>
    <w:p w14:paraId="1C293244" w14:textId="3A7C4480" w:rsidR="00BA3BB9" w:rsidRDefault="00BA3BB9" w:rsidP="00EB00A4">
      <w:pPr>
        <w:spacing w:after="0" w:line="360" w:lineRule="auto"/>
        <w:rPr>
          <w:b/>
          <w:sz w:val="44"/>
          <w:szCs w:val="44"/>
        </w:rPr>
      </w:pPr>
      <w:r w:rsidRPr="00421306">
        <w:rPr>
          <w:b/>
          <w:color w:val="000099"/>
          <w:sz w:val="36"/>
          <w:szCs w:val="36"/>
        </w:rPr>
        <w:t xml:space="preserve">dla działania </w:t>
      </w:r>
      <w:r>
        <w:rPr>
          <w:b/>
          <w:color w:val="000099"/>
          <w:sz w:val="36"/>
          <w:szCs w:val="36"/>
        </w:rPr>
        <w:t>1.7</w:t>
      </w:r>
      <w:r w:rsidRPr="00C81152">
        <w:rPr>
          <w:b/>
          <w:color w:val="000099"/>
          <w:sz w:val="36"/>
          <w:szCs w:val="36"/>
        </w:rPr>
        <w:t xml:space="preserve"> </w:t>
      </w:r>
      <w:r>
        <w:rPr>
          <w:b/>
          <w:color w:val="000099"/>
          <w:sz w:val="36"/>
          <w:szCs w:val="36"/>
        </w:rPr>
        <w:t>Opolskie konkurencyjne</w:t>
      </w:r>
    </w:p>
    <w:p w14:paraId="1E690E89" w14:textId="77777777" w:rsidR="00745059" w:rsidRDefault="00745059" w:rsidP="00EB00A4">
      <w:pPr>
        <w:rPr>
          <w:b/>
          <w:color w:val="000099"/>
          <w:sz w:val="36"/>
          <w:szCs w:val="36"/>
        </w:rPr>
      </w:pPr>
    </w:p>
    <w:p w14:paraId="378A0C95" w14:textId="7DF97D7D" w:rsidR="00656C2B" w:rsidRDefault="00BA3BB9" w:rsidP="00EB00A4">
      <w:pPr>
        <w:spacing w:after="60"/>
        <w:rPr>
          <w:b/>
          <w:color w:val="000099"/>
          <w:sz w:val="36"/>
          <w:szCs w:val="36"/>
        </w:rPr>
      </w:pPr>
      <w:r>
        <w:rPr>
          <w:b/>
          <w:color w:val="000099"/>
          <w:sz w:val="36"/>
          <w:szCs w:val="36"/>
        </w:rPr>
        <w:t>czerwiec</w:t>
      </w:r>
      <w:r w:rsidRPr="002B48C2">
        <w:rPr>
          <w:b/>
          <w:color w:val="000099"/>
          <w:sz w:val="36"/>
          <w:szCs w:val="36"/>
        </w:rPr>
        <w:t xml:space="preserve"> 2024 r.</w:t>
      </w:r>
    </w:p>
    <w:p w14:paraId="2760DCA0" w14:textId="77777777" w:rsidR="00BA3BB9" w:rsidRDefault="00BA3BB9" w:rsidP="00EB00A4">
      <w:pPr>
        <w:spacing w:after="60"/>
        <w:rPr>
          <w:b/>
          <w:color w:val="000099"/>
          <w:sz w:val="36"/>
          <w:szCs w:val="36"/>
        </w:rPr>
      </w:pPr>
    </w:p>
    <w:p w14:paraId="066125F3" w14:textId="77777777" w:rsidR="008C132E" w:rsidRDefault="008C132E" w:rsidP="00EB00A4">
      <w:pPr>
        <w:spacing w:after="60"/>
        <w:rPr>
          <w:b/>
          <w:color w:val="000099"/>
          <w:sz w:val="36"/>
          <w:szCs w:val="36"/>
        </w:rPr>
      </w:pPr>
    </w:p>
    <w:p w14:paraId="7EAE0BCC" w14:textId="77777777" w:rsidR="00BA3BB9" w:rsidRDefault="00BA3BB9" w:rsidP="00EB00A4">
      <w:pPr>
        <w:spacing w:after="60"/>
        <w:rPr>
          <w:b/>
          <w:color w:val="000099"/>
          <w:sz w:val="36"/>
          <w:szCs w:val="36"/>
        </w:rPr>
      </w:pPr>
    </w:p>
    <w:p w14:paraId="1BF3F516" w14:textId="77777777" w:rsidR="00BA3BB9" w:rsidRDefault="00BA3BB9" w:rsidP="00EB00A4">
      <w:pPr>
        <w:spacing w:after="60"/>
        <w:rPr>
          <w:b/>
          <w:color w:val="000099"/>
          <w:sz w:val="36"/>
          <w:szCs w:val="36"/>
        </w:rPr>
      </w:pPr>
    </w:p>
    <w:p w14:paraId="2C932678" w14:textId="77777777" w:rsidR="00BA3BB9" w:rsidRDefault="00BA3BB9" w:rsidP="00EB00A4">
      <w:pPr>
        <w:spacing w:after="60"/>
        <w:rPr>
          <w:b/>
          <w:sz w:val="20"/>
          <w:szCs w:val="20"/>
        </w:rPr>
      </w:pPr>
    </w:p>
    <w:p w14:paraId="3C3BE46F" w14:textId="5E993B6F" w:rsidR="0021480F" w:rsidRPr="004534FE" w:rsidRDefault="0021480F" w:rsidP="00EB00A4">
      <w:pPr>
        <w:spacing w:after="60"/>
        <w:rPr>
          <w:i/>
          <w:sz w:val="20"/>
          <w:szCs w:val="20"/>
        </w:rPr>
      </w:pPr>
      <w:r w:rsidRPr="004534FE">
        <w:rPr>
          <w:b/>
          <w:sz w:val="20"/>
          <w:szCs w:val="20"/>
        </w:rPr>
        <w:lastRenderedPageBreak/>
        <w:t xml:space="preserve">Tabela 1 </w:t>
      </w:r>
      <w:r w:rsidRPr="004534FE">
        <w:rPr>
          <w:i/>
          <w:sz w:val="20"/>
          <w:szCs w:val="20"/>
        </w:rPr>
        <w:t>Zestawienie wskaźników EFRR na poziomie projektu w ramach FEO 2021-2027</w:t>
      </w:r>
      <w:r>
        <w:rPr>
          <w:i/>
          <w:sz w:val="20"/>
          <w:szCs w:val="20"/>
        </w:rPr>
        <w:t xml:space="preserve"> dla działania 1.7 Opolskie konkurencyjne</w:t>
      </w:r>
    </w:p>
    <w:tbl>
      <w:tblPr>
        <w:tblStyle w:val="Tabela-Siatka"/>
        <w:tblW w:w="14444" w:type="dxa"/>
        <w:tblBorders>
          <w:top w:val="single" w:sz="12" w:space="0" w:color="33CC33"/>
          <w:left w:val="single" w:sz="12" w:space="0" w:color="33CC33"/>
          <w:bottom w:val="single" w:sz="12" w:space="0" w:color="33CC33"/>
          <w:right w:val="single" w:sz="12" w:space="0" w:color="33CC33"/>
          <w:insideH w:val="single" w:sz="4" w:space="0" w:color="33CC33"/>
          <w:insideV w:val="single" w:sz="4" w:space="0" w:color="33CC33"/>
        </w:tblBorders>
        <w:tblLayout w:type="fixed"/>
        <w:tblLook w:val="04A0" w:firstRow="1" w:lastRow="0" w:firstColumn="1" w:lastColumn="0" w:noHBand="0" w:noVBand="1"/>
      </w:tblPr>
      <w:tblGrid>
        <w:gridCol w:w="552"/>
        <w:gridCol w:w="2977"/>
        <w:gridCol w:w="1134"/>
        <w:gridCol w:w="1418"/>
        <w:gridCol w:w="1417"/>
        <w:gridCol w:w="1276"/>
        <w:gridCol w:w="5670"/>
      </w:tblGrid>
      <w:tr w:rsidR="0021480F" w:rsidRPr="004534FE" w14:paraId="5003B0AD" w14:textId="77777777" w:rsidTr="000D262C">
        <w:trPr>
          <w:trHeight w:hRule="exact" w:val="839"/>
          <w:tblHeader/>
        </w:trPr>
        <w:tc>
          <w:tcPr>
            <w:tcW w:w="552" w:type="dxa"/>
            <w:tcBorders>
              <w:top w:val="single" w:sz="8" w:space="0" w:color="33CC33"/>
              <w:bottom w:val="single" w:sz="12" w:space="0" w:color="33CC33"/>
              <w:right w:val="single" w:sz="12" w:space="0" w:color="33CC33"/>
            </w:tcBorders>
            <w:shd w:val="clear" w:color="auto" w:fill="F2F2F2"/>
            <w:vAlign w:val="center"/>
          </w:tcPr>
          <w:p w14:paraId="60B745F9"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Lp.</w:t>
            </w:r>
          </w:p>
        </w:tc>
        <w:tc>
          <w:tcPr>
            <w:tcW w:w="2977"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72043E84"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Nazwa wskaźnika</w:t>
            </w:r>
          </w:p>
        </w:tc>
        <w:tc>
          <w:tcPr>
            <w:tcW w:w="1134"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27DF3EB9"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Jednostka miary</w:t>
            </w:r>
          </w:p>
        </w:tc>
        <w:tc>
          <w:tcPr>
            <w:tcW w:w="1418"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3A7600EB"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Rodzaj wskaźnika</w:t>
            </w:r>
          </w:p>
        </w:tc>
        <w:tc>
          <w:tcPr>
            <w:tcW w:w="1417"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5C0E1CAC"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Typ wskaźnika</w:t>
            </w:r>
          </w:p>
        </w:tc>
        <w:tc>
          <w:tcPr>
            <w:tcW w:w="1276"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246EE281"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Inne uwagi</w:t>
            </w:r>
          </w:p>
        </w:tc>
        <w:tc>
          <w:tcPr>
            <w:tcW w:w="5670" w:type="dxa"/>
            <w:tcBorders>
              <w:top w:val="single" w:sz="8" w:space="0" w:color="33CC33"/>
              <w:left w:val="single" w:sz="12" w:space="0" w:color="33CC33"/>
              <w:bottom w:val="single" w:sz="12" w:space="0" w:color="33CC33"/>
            </w:tcBorders>
            <w:shd w:val="clear" w:color="auto" w:fill="F2F2F2"/>
            <w:vAlign w:val="center"/>
          </w:tcPr>
          <w:p w14:paraId="4CF4378B"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Definicja</w:t>
            </w:r>
          </w:p>
        </w:tc>
      </w:tr>
      <w:tr w:rsidR="0021480F" w:rsidRPr="004534FE" w14:paraId="18D788AF" w14:textId="77777777" w:rsidTr="000D262C">
        <w:trPr>
          <w:trHeight w:val="364"/>
        </w:trPr>
        <w:tc>
          <w:tcPr>
            <w:tcW w:w="14444" w:type="dxa"/>
            <w:gridSpan w:val="7"/>
            <w:tcBorders>
              <w:top w:val="single" w:sz="12" w:space="0" w:color="33CC33"/>
              <w:bottom w:val="single" w:sz="12" w:space="0" w:color="33CC33"/>
            </w:tcBorders>
            <w:shd w:val="clear" w:color="auto" w:fill="FFFFFF" w:themeFill="background1"/>
          </w:tcPr>
          <w:p w14:paraId="389DCD3E" w14:textId="77777777" w:rsidR="0021480F" w:rsidRPr="007F14ED" w:rsidRDefault="0021480F" w:rsidP="00EB00A4">
            <w:pPr>
              <w:spacing w:before="80" w:after="80"/>
              <w:rPr>
                <w:rFonts w:cstheme="minorHAnsi"/>
                <w:b/>
                <w:color w:val="000099"/>
                <w:sz w:val="20"/>
                <w:szCs w:val="20"/>
              </w:rPr>
            </w:pPr>
            <w:r w:rsidRPr="007F14ED">
              <w:rPr>
                <w:rFonts w:cstheme="minorHAnsi"/>
                <w:b/>
                <w:color w:val="000099"/>
                <w:sz w:val="20"/>
                <w:szCs w:val="20"/>
              </w:rPr>
              <w:t>Wskaźniki horyzontalne</w:t>
            </w:r>
          </w:p>
        </w:tc>
      </w:tr>
      <w:tr w:rsidR="0021480F" w:rsidRPr="004534FE" w14:paraId="2E9873B7" w14:textId="77777777" w:rsidTr="000D262C">
        <w:tc>
          <w:tcPr>
            <w:tcW w:w="552" w:type="dxa"/>
            <w:tcBorders>
              <w:top w:val="single" w:sz="12" w:space="0" w:color="33CC33"/>
            </w:tcBorders>
            <w:shd w:val="clear" w:color="auto" w:fill="FFFFFF" w:themeFill="background1"/>
            <w:vAlign w:val="center"/>
          </w:tcPr>
          <w:p w14:paraId="1FA36E27" w14:textId="77777777" w:rsidR="0021480F" w:rsidRPr="007F14ED" w:rsidRDefault="0021480F" w:rsidP="00EB00A4">
            <w:pPr>
              <w:spacing w:before="80" w:after="80"/>
              <w:rPr>
                <w:rFonts w:cstheme="minorHAnsi"/>
                <w:sz w:val="20"/>
                <w:szCs w:val="20"/>
              </w:rPr>
            </w:pPr>
            <w:r w:rsidRPr="007F14ED">
              <w:rPr>
                <w:rFonts w:cstheme="minorHAnsi"/>
                <w:sz w:val="20"/>
                <w:szCs w:val="20"/>
              </w:rPr>
              <w:t>1.</w:t>
            </w:r>
          </w:p>
        </w:tc>
        <w:tc>
          <w:tcPr>
            <w:tcW w:w="2977" w:type="dxa"/>
            <w:tcBorders>
              <w:top w:val="single" w:sz="12" w:space="0" w:color="33CC33"/>
            </w:tcBorders>
            <w:shd w:val="clear" w:color="auto" w:fill="FFFFFF" w:themeFill="background1"/>
            <w:vAlign w:val="center"/>
          </w:tcPr>
          <w:p w14:paraId="5BC59A12" w14:textId="77777777" w:rsidR="0021480F" w:rsidRPr="00625664" w:rsidRDefault="0021480F" w:rsidP="00EB00A4">
            <w:pPr>
              <w:spacing w:before="80" w:after="80"/>
              <w:rPr>
                <w:rFonts w:cstheme="minorHAnsi"/>
                <w:i/>
                <w:sz w:val="20"/>
                <w:szCs w:val="20"/>
              </w:rPr>
            </w:pPr>
            <w:r w:rsidRPr="00625664">
              <w:rPr>
                <w:rFonts w:cstheme="minorHAnsi"/>
                <w:i/>
                <w:iCs/>
                <w:sz w:val="20"/>
                <w:szCs w:val="20"/>
              </w:rPr>
              <w:t>Miejsca pracy utworzone we wspieranych jednostkach</w:t>
            </w:r>
          </w:p>
        </w:tc>
        <w:tc>
          <w:tcPr>
            <w:tcW w:w="1134" w:type="dxa"/>
            <w:tcBorders>
              <w:top w:val="single" w:sz="12" w:space="0" w:color="33CC33"/>
            </w:tcBorders>
            <w:shd w:val="clear" w:color="auto" w:fill="FFFFFF" w:themeFill="background1"/>
            <w:vAlign w:val="center"/>
          </w:tcPr>
          <w:p w14:paraId="46B47E74" w14:textId="77777777" w:rsidR="0021480F" w:rsidRPr="00625664" w:rsidRDefault="0021480F" w:rsidP="00EB00A4">
            <w:pPr>
              <w:spacing w:before="80" w:after="80"/>
              <w:rPr>
                <w:rFonts w:cstheme="minorHAnsi"/>
                <w:sz w:val="20"/>
                <w:szCs w:val="20"/>
              </w:rPr>
            </w:pPr>
            <w:r w:rsidRPr="00625664">
              <w:rPr>
                <w:rFonts w:cstheme="minorHAnsi"/>
                <w:sz w:val="20"/>
                <w:szCs w:val="20"/>
              </w:rPr>
              <w:t>EPC/rok</w:t>
            </w:r>
          </w:p>
        </w:tc>
        <w:tc>
          <w:tcPr>
            <w:tcW w:w="1418" w:type="dxa"/>
            <w:tcBorders>
              <w:top w:val="single" w:sz="12" w:space="0" w:color="33CC33"/>
            </w:tcBorders>
            <w:shd w:val="clear" w:color="auto" w:fill="FFFFFF" w:themeFill="background1"/>
            <w:vAlign w:val="center"/>
          </w:tcPr>
          <w:p w14:paraId="156400C9"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12" w:space="0" w:color="33CC33"/>
            </w:tcBorders>
            <w:shd w:val="clear" w:color="auto" w:fill="FFFFFF" w:themeFill="background1"/>
            <w:vAlign w:val="center"/>
          </w:tcPr>
          <w:p w14:paraId="387ECDED" w14:textId="77777777" w:rsidR="0021480F" w:rsidRPr="00625664" w:rsidRDefault="0021480F" w:rsidP="00EB00A4">
            <w:pPr>
              <w:spacing w:before="80" w:after="80"/>
              <w:rPr>
                <w:rFonts w:cstheme="minorHAnsi"/>
                <w:sz w:val="20"/>
                <w:szCs w:val="20"/>
              </w:rPr>
            </w:pPr>
            <w:r w:rsidRPr="00625664">
              <w:rPr>
                <w:rFonts w:cstheme="minorHAnsi"/>
                <w:sz w:val="20"/>
                <w:szCs w:val="20"/>
              </w:rPr>
              <w:t>kluczowy</w:t>
            </w:r>
          </w:p>
        </w:tc>
        <w:tc>
          <w:tcPr>
            <w:tcW w:w="1276" w:type="dxa"/>
            <w:tcBorders>
              <w:top w:val="single" w:sz="12" w:space="0" w:color="33CC33"/>
            </w:tcBorders>
            <w:shd w:val="clear" w:color="auto" w:fill="FFFFFF" w:themeFill="background1"/>
            <w:vAlign w:val="center"/>
          </w:tcPr>
          <w:p w14:paraId="73AECBB2" w14:textId="77777777" w:rsidR="0021480F" w:rsidRPr="00625664" w:rsidRDefault="0021480F" w:rsidP="00EB00A4">
            <w:pPr>
              <w:spacing w:before="80" w:after="80"/>
              <w:rPr>
                <w:rFonts w:cstheme="minorHAnsi"/>
                <w:sz w:val="20"/>
                <w:szCs w:val="20"/>
              </w:rPr>
            </w:pPr>
            <w:r w:rsidRPr="00625664">
              <w:rPr>
                <w:rFonts w:cstheme="minorHAnsi"/>
                <w:sz w:val="20"/>
                <w:szCs w:val="20"/>
              </w:rPr>
              <w:t>Wskaźnik programowy</w:t>
            </w:r>
          </w:p>
        </w:tc>
        <w:tc>
          <w:tcPr>
            <w:tcW w:w="5670" w:type="dxa"/>
            <w:tcBorders>
              <w:top w:val="single" w:sz="12" w:space="0" w:color="33CC33"/>
            </w:tcBorders>
            <w:shd w:val="clear" w:color="auto" w:fill="FFFFFF" w:themeFill="background1"/>
            <w:vAlign w:val="center"/>
          </w:tcPr>
          <w:p w14:paraId="13C95A43" w14:textId="77777777" w:rsidR="0021480F" w:rsidRPr="00625664" w:rsidRDefault="0021480F" w:rsidP="00EB00A4">
            <w:pPr>
              <w:tabs>
                <w:tab w:val="left" w:pos="3402"/>
                <w:tab w:val="left" w:pos="5103"/>
              </w:tabs>
              <w:spacing w:before="60" w:after="60"/>
              <w:ind w:left="-6"/>
              <w:rPr>
                <w:rFonts w:cstheme="minorHAnsi"/>
                <w:sz w:val="20"/>
                <w:szCs w:val="20"/>
              </w:rPr>
            </w:pPr>
            <w:r w:rsidRPr="00625664">
              <w:rPr>
                <w:rFonts w:cstheme="minorHAnsi"/>
                <w:bCs/>
                <w:color w:val="000000"/>
                <w:sz w:val="20"/>
                <w:szCs w:val="20"/>
              </w:rPr>
              <w:t xml:space="preserve">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 odniesieniu do jej statusu zatrudnienia i rodzaju umowy (pełny lub niepełny etat). Wskaźnik ten nie powinien być stosowany do uwzględnienia miejsc pracy dla naukowców, które należy zgłaszać w ramach wskaźnika </w:t>
            </w:r>
            <w:r w:rsidRPr="00625664">
              <w:rPr>
                <w:rFonts w:cstheme="minorHAnsi"/>
                <w:bCs/>
                <w:i/>
                <w:color w:val="000000"/>
                <w:sz w:val="20"/>
                <w:szCs w:val="20"/>
              </w:rPr>
              <w:t>Miejsca pracy dla naukowców utworzone we wspieranych jednostkach.</w:t>
            </w:r>
          </w:p>
        </w:tc>
      </w:tr>
      <w:tr w:rsidR="0021480F" w:rsidRPr="004534FE" w14:paraId="7F156C8D" w14:textId="77777777" w:rsidTr="000D262C">
        <w:tc>
          <w:tcPr>
            <w:tcW w:w="552" w:type="dxa"/>
            <w:tcBorders>
              <w:top w:val="single" w:sz="12" w:space="0" w:color="33CC33"/>
            </w:tcBorders>
            <w:shd w:val="clear" w:color="auto" w:fill="FFFFFF" w:themeFill="background1"/>
            <w:vAlign w:val="center"/>
          </w:tcPr>
          <w:p w14:paraId="299BEFE0" w14:textId="77777777" w:rsidR="0021480F" w:rsidRPr="007F14ED" w:rsidRDefault="0021480F" w:rsidP="00EB00A4">
            <w:pPr>
              <w:spacing w:before="80" w:after="80"/>
              <w:rPr>
                <w:rFonts w:cstheme="minorHAnsi"/>
                <w:sz w:val="20"/>
                <w:szCs w:val="20"/>
              </w:rPr>
            </w:pPr>
            <w:r w:rsidRPr="007F14ED">
              <w:rPr>
                <w:rFonts w:cstheme="minorHAnsi"/>
                <w:sz w:val="20"/>
                <w:szCs w:val="20"/>
              </w:rPr>
              <w:lastRenderedPageBreak/>
              <w:t>2.</w:t>
            </w:r>
          </w:p>
        </w:tc>
        <w:tc>
          <w:tcPr>
            <w:tcW w:w="2977" w:type="dxa"/>
            <w:tcBorders>
              <w:top w:val="single" w:sz="12" w:space="0" w:color="33CC33"/>
            </w:tcBorders>
            <w:shd w:val="clear" w:color="auto" w:fill="FFFFFF" w:themeFill="background1"/>
            <w:vAlign w:val="center"/>
          </w:tcPr>
          <w:p w14:paraId="5E4E2749" w14:textId="77777777" w:rsidR="0021480F" w:rsidRPr="00625664" w:rsidRDefault="0021480F" w:rsidP="00EB00A4">
            <w:pPr>
              <w:spacing w:before="80" w:after="80"/>
              <w:rPr>
                <w:rFonts w:cstheme="minorHAnsi"/>
                <w:i/>
                <w:sz w:val="20"/>
                <w:szCs w:val="20"/>
              </w:rPr>
            </w:pPr>
            <w:r w:rsidRPr="00625664">
              <w:rPr>
                <w:rFonts w:cstheme="minorHAnsi"/>
                <w:i/>
                <w:color w:val="000000"/>
                <w:sz w:val="20"/>
                <w:szCs w:val="20"/>
              </w:rPr>
              <w:t>Liczba obiektów dostosowanych do potrzeb osób z niepełnosprawnościami</w:t>
            </w:r>
          </w:p>
        </w:tc>
        <w:tc>
          <w:tcPr>
            <w:tcW w:w="1134" w:type="dxa"/>
            <w:tcBorders>
              <w:top w:val="single" w:sz="12" w:space="0" w:color="33CC33"/>
            </w:tcBorders>
            <w:shd w:val="clear" w:color="auto" w:fill="FFFFFF" w:themeFill="background1"/>
            <w:vAlign w:val="center"/>
          </w:tcPr>
          <w:p w14:paraId="7745FD39" w14:textId="77777777" w:rsidR="0021480F" w:rsidRPr="00625664" w:rsidRDefault="0021480F" w:rsidP="00EB00A4">
            <w:pPr>
              <w:spacing w:before="80" w:after="80"/>
              <w:rPr>
                <w:rFonts w:cstheme="minorHAnsi"/>
                <w:sz w:val="20"/>
                <w:szCs w:val="20"/>
              </w:rPr>
            </w:pPr>
            <w:r w:rsidRPr="00625664">
              <w:rPr>
                <w:rFonts w:cstheme="minorHAnsi"/>
                <w:sz w:val="20"/>
                <w:szCs w:val="20"/>
              </w:rPr>
              <w:t>szt.</w:t>
            </w:r>
          </w:p>
        </w:tc>
        <w:tc>
          <w:tcPr>
            <w:tcW w:w="1418" w:type="dxa"/>
            <w:tcBorders>
              <w:top w:val="single" w:sz="12" w:space="0" w:color="33CC33"/>
            </w:tcBorders>
            <w:shd w:val="clear" w:color="auto" w:fill="FFFFFF" w:themeFill="background1"/>
            <w:vAlign w:val="center"/>
          </w:tcPr>
          <w:p w14:paraId="53106E83" w14:textId="77777777" w:rsidR="0021480F" w:rsidRPr="00625664" w:rsidRDefault="0021480F" w:rsidP="00EB00A4">
            <w:pPr>
              <w:spacing w:before="80" w:after="80"/>
              <w:rPr>
                <w:rFonts w:cstheme="minorHAnsi"/>
                <w:sz w:val="20"/>
                <w:szCs w:val="20"/>
              </w:rPr>
            </w:pPr>
            <w:r w:rsidRPr="00625664">
              <w:rPr>
                <w:rFonts w:cstheme="minorHAnsi"/>
                <w:sz w:val="20"/>
                <w:szCs w:val="20"/>
              </w:rPr>
              <w:t>produkt</w:t>
            </w:r>
          </w:p>
        </w:tc>
        <w:tc>
          <w:tcPr>
            <w:tcW w:w="1417" w:type="dxa"/>
            <w:tcBorders>
              <w:top w:val="single" w:sz="12" w:space="0" w:color="33CC33"/>
            </w:tcBorders>
            <w:shd w:val="clear" w:color="auto" w:fill="FFFFFF" w:themeFill="background1"/>
            <w:vAlign w:val="center"/>
          </w:tcPr>
          <w:p w14:paraId="386C8CB4" w14:textId="77777777" w:rsidR="0021480F" w:rsidRPr="00625664" w:rsidRDefault="0021480F" w:rsidP="00EB00A4">
            <w:pPr>
              <w:spacing w:before="80" w:after="80"/>
              <w:rPr>
                <w:rFonts w:cstheme="minorHAnsi"/>
                <w:sz w:val="20"/>
                <w:szCs w:val="20"/>
              </w:rPr>
            </w:pPr>
            <w:r w:rsidRPr="00625664">
              <w:rPr>
                <w:rFonts w:cstheme="minorHAnsi"/>
                <w:sz w:val="20"/>
                <w:szCs w:val="20"/>
              </w:rPr>
              <w:t>kluczowy</w:t>
            </w:r>
          </w:p>
        </w:tc>
        <w:tc>
          <w:tcPr>
            <w:tcW w:w="1276" w:type="dxa"/>
            <w:tcBorders>
              <w:top w:val="single" w:sz="12" w:space="0" w:color="33CC33"/>
            </w:tcBorders>
            <w:shd w:val="clear" w:color="auto" w:fill="FFFFFF" w:themeFill="background1"/>
            <w:vAlign w:val="center"/>
          </w:tcPr>
          <w:p w14:paraId="375EAB8F"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12" w:space="0" w:color="33CC33"/>
            </w:tcBorders>
            <w:shd w:val="clear" w:color="auto" w:fill="FFFFFF" w:themeFill="background1"/>
            <w:vAlign w:val="center"/>
          </w:tcPr>
          <w:p w14:paraId="45E86271" w14:textId="77777777" w:rsidR="0021480F" w:rsidRPr="00625664" w:rsidRDefault="0021480F" w:rsidP="00EB00A4">
            <w:pPr>
              <w:tabs>
                <w:tab w:val="left" w:pos="3402"/>
                <w:tab w:val="left" w:pos="5103"/>
              </w:tabs>
              <w:spacing w:before="60" w:after="60"/>
              <w:ind w:left="-6"/>
              <w:rPr>
                <w:rFonts w:cstheme="minorHAnsi"/>
                <w:sz w:val="20"/>
                <w:szCs w:val="20"/>
              </w:rPr>
            </w:pPr>
            <w:r w:rsidRPr="00625664">
              <w:rPr>
                <w:rFonts w:cstheme="minorHAnsi"/>
                <w:color w:val="000000"/>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r>
      <w:tr w:rsidR="0021480F" w:rsidRPr="004534FE" w14:paraId="5BC38EAF" w14:textId="77777777" w:rsidTr="000D262C">
        <w:tc>
          <w:tcPr>
            <w:tcW w:w="552" w:type="dxa"/>
            <w:tcBorders>
              <w:top w:val="single" w:sz="12" w:space="0" w:color="33CC33"/>
            </w:tcBorders>
            <w:shd w:val="clear" w:color="auto" w:fill="FFFFFF" w:themeFill="background1"/>
            <w:vAlign w:val="center"/>
          </w:tcPr>
          <w:p w14:paraId="73F265D0" w14:textId="77777777" w:rsidR="0021480F" w:rsidRPr="007F14ED" w:rsidRDefault="0021480F" w:rsidP="00EB00A4">
            <w:pPr>
              <w:spacing w:before="80" w:after="80"/>
              <w:rPr>
                <w:rFonts w:cstheme="minorHAnsi"/>
                <w:sz w:val="20"/>
                <w:szCs w:val="20"/>
              </w:rPr>
            </w:pPr>
            <w:r w:rsidRPr="007F14ED">
              <w:rPr>
                <w:rFonts w:cstheme="minorHAnsi"/>
                <w:sz w:val="20"/>
                <w:szCs w:val="20"/>
              </w:rPr>
              <w:t>3.</w:t>
            </w:r>
          </w:p>
        </w:tc>
        <w:tc>
          <w:tcPr>
            <w:tcW w:w="2977" w:type="dxa"/>
            <w:tcBorders>
              <w:top w:val="single" w:sz="12" w:space="0" w:color="33CC33"/>
            </w:tcBorders>
            <w:shd w:val="clear" w:color="auto" w:fill="FFFFFF" w:themeFill="background1"/>
            <w:vAlign w:val="center"/>
          </w:tcPr>
          <w:p w14:paraId="3538E1DC" w14:textId="7FD85E52" w:rsidR="0021480F" w:rsidRPr="00625664" w:rsidRDefault="0021480F" w:rsidP="00EB00A4">
            <w:pPr>
              <w:spacing w:before="80" w:after="80"/>
              <w:rPr>
                <w:rFonts w:cstheme="minorHAnsi"/>
                <w:i/>
                <w:sz w:val="20"/>
                <w:szCs w:val="20"/>
              </w:rPr>
            </w:pPr>
            <w:r w:rsidRPr="00625664">
              <w:rPr>
                <w:rFonts w:cstheme="minorHAnsi"/>
                <w:i/>
                <w:color w:val="000000"/>
                <w:sz w:val="20"/>
                <w:szCs w:val="20"/>
              </w:rPr>
              <w:t>Liczba projektów, w których sfinansowano koszty racjonalnych usprawnień dla osób z niepełnosprawnościami</w:t>
            </w:r>
          </w:p>
        </w:tc>
        <w:tc>
          <w:tcPr>
            <w:tcW w:w="1134" w:type="dxa"/>
            <w:tcBorders>
              <w:top w:val="single" w:sz="12" w:space="0" w:color="33CC33"/>
            </w:tcBorders>
            <w:shd w:val="clear" w:color="auto" w:fill="FFFFFF" w:themeFill="background1"/>
            <w:vAlign w:val="center"/>
          </w:tcPr>
          <w:p w14:paraId="623D9427" w14:textId="77777777" w:rsidR="0021480F" w:rsidRPr="00625664" w:rsidRDefault="0021480F" w:rsidP="00EB00A4">
            <w:pPr>
              <w:spacing w:before="80" w:after="80"/>
              <w:rPr>
                <w:rFonts w:cstheme="minorHAnsi"/>
                <w:sz w:val="20"/>
                <w:szCs w:val="20"/>
              </w:rPr>
            </w:pPr>
            <w:r w:rsidRPr="00625664">
              <w:rPr>
                <w:rFonts w:cstheme="minorHAnsi"/>
                <w:sz w:val="20"/>
                <w:szCs w:val="20"/>
              </w:rPr>
              <w:t>szt.</w:t>
            </w:r>
          </w:p>
        </w:tc>
        <w:tc>
          <w:tcPr>
            <w:tcW w:w="1418" w:type="dxa"/>
            <w:tcBorders>
              <w:top w:val="single" w:sz="12" w:space="0" w:color="33CC33"/>
            </w:tcBorders>
            <w:shd w:val="clear" w:color="auto" w:fill="FFFFFF" w:themeFill="background1"/>
            <w:vAlign w:val="center"/>
          </w:tcPr>
          <w:p w14:paraId="6F699733" w14:textId="77777777" w:rsidR="0021480F" w:rsidRPr="00625664" w:rsidRDefault="0021480F" w:rsidP="00EB00A4">
            <w:pPr>
              <w:spacing w:before="80" w:after="80"/>
              <w:rPr>
                <w:rFonts w:cstheme="minorHAnsi"/>
                <w:sz w:val="20"/>
                <w:szCs w:val="20"/>
              </w:rPr>
            </w:pPr>
            <w:r w:rsidRPr="00625664">
              <w:rPr>
                <w:rFonts w:cstheme="minorHAnsi"/>
                <w:sz w:val="20"/>
                <w:szCs w:val="20"/>
              </w:rPr>
              <w:t>produkt</w:t>
            </w:r>
          </w:p>
        </w:tc>
        <w:tc>
          <w:tcPr>
            <w:tcW w:w="1417" w:type="dxa"/>
            <w:tcBorders>
              <w:top w:val="single" w:sz="12" w:space="0" w:color="33CC33"/>
            </w:tcBorders>
            <w:shd w:val="clear" w:color="auto" w:fill="FFFFFF" w:themeFill="background1"/>
            <w:vAlign w:val="center"/>
          </w:tcPr>
          <w:p w14:paraId="40DA631B" w14:textId="77777777" w:rsidR="0021480F" w:rsidRPr="00625664" w:rsidRDefault="0021480F" w:rsidP="00EB00A4">
            <w:pPr>
              <w:spacing w:before="80" w:after="80"/>
              <w:rPr>
                <w:rFonts w:cstheme="minorHAnsi"/>
                <w:sz w:val="20"/>
                <w:szCs w:val="20"/>
              </w:rPr>
            </w:pPr>
            <w:r w:rsidRPr="00625664">
              <w:rPr>
                <w:rFonts w:cstheme="minorHAnsi"/>
                <w:sz w:val="20"/>
                <w:szCs w:val="20"/>
              </w:rPr>
              <w:t>kluczowy</w:t>
            </w:r>
          </w:p>
        </w:tc>
        <w:tc>
          <w:tcPr>
            <w:tcW w:w="1276" w:type="dxa"/>
            <w:tcBorders>
              <w:top w:val="single" w:sz="12" w:space="0" w:color="33CC33"/>
            </w:tcBorders>
            <w:shd w:val="clear" w:color="auto" w:fill="FFFFFF" w:themeFill="background1"/>
            <w:vAlign w:val="center"/>
          </w:tcPr>
          <w:p w14:paraId="1518EC16"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12" w:space="0" w:color="33CC33"/>
            </w:tcBorders>
            <w:shd w:val="clear" w:color="auto" w:fill="FFFFFF" w:themeFill="background1"/>
            <w:vAlign w:val="center"/>
          </w:tcPr>
          <w:p w14:paraId="7825C355" w14:textId="77777777" w:rsidR="0021480F" w:rsidRPr="00625664" w:rsidRDefault="0021480F" w:rsidP="00EB00A4">
            <w:pPr>
              <w:tabs>
                <w:tab w:val="left" w:pos="3402"/>
                <w:tab w:val="left" w:pos="5103"/>
              </w:tabs>
              <w:spacing w:before="60" w:after="60"/>
              <w:ind w:left="-6"/>
              <w:rPr>
                <w:rFonts w:cstheme="minorHAnsi"/>
                <w:sz w:val="20"/>
                <w:szCs w:val="20"/>
              </w:rPr>
            </w:pPr>
            <w:r w:rsidRPr="00625664">
              <w:rPr>
                <w:rFonts w:cstheme="minorHAnsi"/>
                <w:color w:val="000000"/>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w:t>
            </w:r>
            <w:r w:rsidRPr="00625664">
              <w:rPr>
                <w:rFonts w:cstheme="minorHAnsi"/>
                <w:color w:val="000000"/>
                <w:sz w:val="20"/>
                <w:szCs w:val="20"/>
              </w:rPr>
              <w:lastRenderedPageBreak/>
              <w:t>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  w ramach funduszy unijnych na lata 2021-2027.</w:t>
            </w:r>
          </w:p>
        </w:tc>
      </w:tr>
      <w:tr w:rsidR="0021480F" w:rsidRPr="004534FE" w14:paraId="27976A1B" w14:textId="77777777" w:rsidTr="000D262C">
        <w:trPr>
          <w:trHeight w:hRule="exact" w:val="567"/>
        </w:trPr>
        <w:tc>
          <w:tcPr>
            <w:tcW w:w="14444" w:type="dxa"/>
            <w:gridSpan w:val="7"/>
            <w:tcBorders>
              <w:top w:val="single" w:sz="12" w:space="0" w:color="33CC33"/>
              <w:bottom w:val="single" w:sz="12" w:space="0" w:color="33CC33"/>
            </w:tcBorders>
            <w:shd w:val="clear" w:color="auto" w:fill="D9D9D9" w:themeFill="background1" w:themeFillShade="D9"/>
            <w:vAlign w:val="center"/>
          </w:tcPr>
          <w:p w14:paraId="7845C4AF" w14:textId="77777777" w:rsidR="0021480F" w:rsidRPr="00625664" w:rsidRDefault="0021480F" w:rsidP="00EB00A4">
            <w:pPr>
              <w:spacing w:before="80" w:after="80"/>
              <w:rPr>
                <w:rFonts w:cstheme="minorHAnsi"/>
                <w:i/>
                <w:color w:val="000099"/>
                <w:sz w:val="20"/>
                <w:szCs w:val="20"/>
              </w:rPr>
            </w:pPr>
            <w:r w:rsidRPr="00625664">
              <w:rPr>
                <w:rFonts w:cstheme="minorHAnsi"/>
                <w:i/>
                <w:color w:val="000099"/>
                <w:sz w:val="20"/>
                <w:szCs w:val="20"/>
              </w:rPr>
              <w:lastRenderedPageBreak/>
              <w:t xml:space="preserve">Oś priorytetowa I </w:t>
            </w:r>
            <w:r w:rsidRPr="00625664">
              <w:rPr>
                <w:rFonts w:cstheme="minorHAnsi"/>
                <w:b/>
                <w:i/>
                <w:color w:val="000099"/>
                <w:sz w:val="20"/>
                <w:szCs w:val="20"/>
              </w:rPr>
              <w:t>Fundusze Europejskie na rzecz wzrostu innowacyjności i konkurencyjności opolskiego</w:t>
            </w:r>
          </w:p>
        </w:tc>
      </w:tr>
      <w:tr w:rsidR="0021480F" w:rsidRPr="004534FE" w14:paraId="66CA2437" w14:textId="77777777" w:rsidTr="000D262C">
        <w:trPr>
          <w:trHeight w:hRule="exact" w:val="567"/>
        </w:trPr>
        <w:tc>
          <w:tcPr>
            <w:tcW w:w="14444" w:type="dxa"/>
            <w:gridSpan w:val="7"/>
            <w:tcBorders>
              <w:top w:val="single" w:sz="12" w:space="0" w:color="33CC33"/>
              <w:bottom w:val="single" w:sz="12" w:space="0" w:color="33CC33"/>
            </w:tcBorders>
            <w:shd w:val="clear" w:color="auto" w:fill="EAF1DD"/>
            <w:vAlign w:val="center"/>
          </w:tcPr>
          <w:p w14:paraId="76CE6373" w14:textId="77777777" w:rsidR="0021480F" w:rsidRPr="00625664" w:rsidRDefault="0021480F" w:rsidP="00EB00A4">
            <w:pPr>
              <w:spacing w:before="80" w:after="80"/>
              <w:rPr>
                <w:rFonts w:cstheme="minorHAnsi"/>
                <w:i/>
                <w:color w:val="000099"/>
                <w:sz w:val="20"/>
                <w:szCs w:val="20"/>
              </w:rPr>
            </w:pPr>
            <w:r w:rsidRPr="00625664">
              <w:rPr>
                <w:rFonts w:cstheme="minorHAnsi"/>
                <w:i/>
                <w:color w:val="000099"/>
                <w:sz w:val="20"/>
                <w:szCs w:val="20"/>
              </w:rPr>
              <w:t xml:space="preserve">Działanie 1.7  </w:t>
            </w:r>
            <w:r w:rsidRPr="00625664">
              <w:rPr>
                <w:rFonts w:cstheme="minorHAnsi"/>
                <w:b/>
                <w:i/>
                <w:color w:val="000099"/>
                <w:sz w:val="20"/>
                <w:szCs w:val="20"/>
              </w:rPr>
              <w:t>Opolskie konkurencyjne</w:t>
            </w:r>
          </w:p>
        </w:tc>
      </w:tr>
      <w:tr w:rsidR="0021480F" w:rsidRPr="004534FE" w14:paraId="6A1E6F2F" w14:textId="77777777" w:rsidTr="000D262C">
        <w:trPr>
          <w:trHeight w:val="1041"/>
        </w:trPr>
        <w:tc>
          <w:tcPr>
            <w:tcW w:w="552" w:type="dxa"/>
            <w:tcBorders>
              <w:top w:val="single" w:sz="12" w:space="0" w:color="33CC33"/>
            </w:tcBorders>
            <w:vAlign w:val="center"/>
          </w:tcPr>
          <w:p w14:paraId="73DC527B" w14:textId="77777777" w:rsidR="0021480F" w:rsidRPr="007F14ED" w:rsidRDefault="0021480F" w:rsidP="00EB00A4">
            <w:pPr>
              <w:spacing w:before="60" w:after="60"/>
              <w:rPr>
                <w:rFonts w:cstheme="minorHAnsi"/>
                <w:sz w:val="20"/>
                <w:szCs w:val="20"/>
              </w:rPr>
            </w:pPr>
            <w:r w:rsidRPr="007F14ED">
              <w:rPr>
                <w:rFonts w:cstheme="minorHAnsi"/>
                <w:sz w:val="20"/>
                <w:szCs w:val="20"/>
              </w:rPr>
              <w:t>1.</w:t>
            </w:r>
          </w:p>
        </w:tc>
        <w:tc>
          <w:tcPr>
            <w:tcW w:w="2977" w:type="dxa"/>
            <w:tcBorders>
              <w:top w:val="single" w:sz="12" w:space="0" w:color="33CC33"/>
            </w:tcBorders>
            <w:vAlign w:val="center"/>
          </w:tcPr>
          <w:p w14:paraId="6655263A" w14:textId="77777777" w:rsidR="0021480F" w:rsidRPr="00625664" w:rsidRDefault="0021480F" w:rsidP="00EB00A4">
            <w:pPr>
              <w:spacing w:before="60" w:after="60"/>
              <w:rPr>
                <w:rFonts w:cstheme="minorHAnsi"/>
                <w:i/>
                <w:color w:val="000000"/>
                <w:sz w:val="20"/>
                <w:szCs w:val="20"/>
              </w:rPr>
            </w:pPr>
            <w:r w:rsidRPr="00625664">
              <w:rPr>
                <w:rFonts w:cstheme="minorHAnsi"/>
                <w:i/>
                <w:sz w:val="20"/>
                <w:szCs w:val="20"/>
              </w:rPr>
              <w:t xml:space="preserve">Przedsiębiorstwa objęte wsparciem (w tym: mikro, małe, średnie, </w:t>
            </w:r>
            <w:proofErr w:type="spellStart"/>
            <w:r w:rsidRPr="00625664">
              <w:rPr>
                <w:rFonts w:cstheme="minorHAnsi"/>
                <w:i/>
                <w:sz w:val="20"/>
                <w:szCs w:val="20"/>
              </w:rPr>
              <w:t>duże</w:t>
            </w:r>
            <w:proofErr w:type="spellEnd"/>
            <w:r w:rsidRPr="00625664">
              <w:rPr>
                <w:rFonts w:cstheme="minorHAnsi"/>
                <w:i/>
                <w:sz w:val="20"/>
                <w:szCs w:val="20"/>
              </w:rPr>
              <w:t>)</w:t>
            </w:r>
          </w:p>
        </w:tc>
        <w:tc>
          <w:tcPr>
            <w:tcW w:w="1134" w:type="dxa"/>
            <w:tcBorders>
              <w:top w:val="single" w:sz="12" w:space="0" w:color="33CC33"/>
            </w:tcBorders>
            <w:vAlign w:val="center"/>
          </w:tcPr>
          <w:p w14:paraId="6BA86E7D"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12" w:space="0" w:color="33CC33"/>
            </w:tcBorders>
            <w:vAlign w:val="center"/>
          </w:tcPr>
          <w:p w14:paraId="37A38F12" w14:textId="77777777" w:rsidR="0021480F" w:rsidRPr="00625664" w:rsidRDefault="0021480F" w:rsidP="00EB00A4">
            <w:pPr>
              <w:spacing w:before="60" w:after="60"/>
              <w:rPr>
                <w:rFonts w:cstheme="minorHAnsi"/>
                <w:sz w:val="20"/>
                <w:szCs w:val="20"/>
              </w:rPr>
            </w:pPr>
            <w:r w:rsidRPr="00625664">
              <w:rPr>
                <w:rFonts w:cstheme="minorHAnsi"/>
                <w:sz w:val="20"/>
                <w:szCs w:val="20"/>
              </w:rPr>
              <w:t>produkt</w:t>
            </w:r>
          </w:p>
        </w:tc>
        <w:tc>
          <w:tcPr>
            <w:tcW w:w="1417" w:type="dxa"/>
            <w:tcBorders>
              <w:top w:val="single" w:sz="12" w:space="0" w:color="33CC33"/>
            </w:tcBorders>
            <w:vAlign w:val="center"/>
          </w:tcPr>
          <w:p w14:paraId="18B4817B" w14:textId="77777777" w:rsidR="0021480F" w:rsidRPr="00625664" w:rsidRDefault="0021480F" w:rsidP="00EB00A4">
            <w:pPr>
              <w:spacing w:before="60" w:after="60"/>
              <w:rPr>
                <w:rFonts w:cstheme="minorHAnsi"/>
                <w:sz w:val="20"/>
                <w:szCs w:val="20"/>
              </w:rPr>
            </w:pPr>
            <w:r w:rsidRPr="00625664">
              <w:rPr>
                <w:rFonts w:cstheme="minorHAnsi"/>
                <w:sz w:val="20"/>
                <w:szCs w:val="20"/>
              </w:rPr>
              <w:t>kluczowy</w:t>
            </w:r>
          </w:p>
        </w:tc>
        <w:tc>
          <w:tcPr>
            <w:tcW w:w="1276" w:type="dxa"/>
            <w:tcBorders>
              <w:top w:val="single" w:sz="12" w:space="0" w:color="33CC33"/>
            </w:tcBorders>
            <w:vAlign w:val="center"/>
          </w:tcPr>
          <w:p w14:paraId="5FD7FA4A"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programowy</w:t>
            </w:r>
          </w:p>
          <w:p w14:paraId="7BA9C1F8" w14:textId="77777777" w:rsidR="0021480F" w:rsidRPr="00625664" w:rsidRDefault="0021480F" w:rsidP="00EB00A4">
            <w:pPr>
              <w:spacing w:before="60" w:after="60"/>
              <w:rPr>
                <w:rFonts w:cstheme="minorHAnsi"/>
                <w:sz w:val="20"/>
                <w:szCs w:val="20"/>
              </w:rPr>
            </w:pPr>
          </w:p>
          <w:p w14:paraId="3A83462C"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agregujący</w:t>
            </w:r>
          </w:p>
        </w:tc>
        <w:tc>
          <w:tcPr>
            <w:tcW w:w="5670" w:type="dxa"/>
            <w:tcBorders>
              <w:top w:val="single" w:sz="12" w:space="0" w:color="33CC33"/>
            </w:tcBorders>
            <w:vAlign w:val="center"/>
          </w:tcPr>
          <w:p w14:paraId="5927E238" w14:textId="2AA7655A" w:rsidR="0021480F" w:rsidRPr="00625664" w:rsidRDefault="0021480F" w:rsidP="00EB00A4">
            <w:pPr>
              <w:spacing w:before="60" w:after="60"/>
              <w:rPr>
                <w:rFonts w:cstheme="minorHAnsi"/>
                <w:sz w:val="20"/>
                <w:szCs w:val="20"/>
              </w:rPr>
            </w:pPr>
            <w:r w:rsidRPr="00625664">
              <w:rPr>
                <w:rFonts w:cstheme="minorHAnsi"/>
                <w:sz w:val="20"/>
                <w:szCs w:val="20"/>
              </w:rPr>
              <w:t>Wskaźnik obejmuje wszystkie przedsiębiorstwa, które otrzymują wsparcie finansowe lub rzeczowe z EFRR i Funduszu Spójności.   „Przedsiębiorstwo“ jest najmniejszą kombinacją jednostek prawnych, tzn. jednostką organizacyjną wytwarzającą towary lub usługi, która osiąga korzyści z pewnego stopnia samodzielności w podejmowaniu decyzji, w szczególności w zakresie alokacji bieżących zasobów. Przedsiębiorstwo prowadzi jeden lub więcej rodzajów działalności w jednym lub więcej miejscach. Przedsiębiorstwo może być jedną jednostką prawną. Jednostki prawne obejmują osoby prawne, których istnienie jest uznane przez prawo, niezależnie od osób indywidualnych lub instytucji, które są 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rozporządzenia Rady (EWG) nr 696/93, sekcja III A z 15.03.1993 r.)   Na potrzeby tego wskaźnika przedsiębiorstwa są organizacjami nastawionymi na osiąganie zysku, które wytwarzają towary lub usługi w celu zaspokojenia potrzeb rynku. W przypadku celu polityki 4 (Społeczna Europa) wskaźnik obejmuje również przedsiębiorstwa społeczne definiowane przez Komisję (DG GROW) następująco: „przedsiębiorstwo społeczne jest podmiotem gospodarki społecznej, którego głównym celem jest raczej wywarcie skutku społecznego niż wygenerowanie zysku dla właścicieli i udziałowców. Przedsiębiorstwo społeczne działa, dostarczając towary i świadcząc usługi na rynku w sposób przedsiębiorczy i innowacyjny, a zyski wykorzystuje przede wszystkim do osiągania celów społecznych”.   Klasyfikacja przedsiębiorstw:   Mikroprzedsiębiorstwo (&lt; 10 pracowników i roczne obroty ≤ 2 mln EUR lub bilans ≤ 2 mln EUR);   Małe przedsiębiorstwo (10-49 pracowników i roczne obroty &gt; 2 mln EUR ≤ 10 mln EUR lub bilans &gt; 2 mln EUR ≤ 10 mln EUR);   Średnie przedsiębiorstwo (50-249 pracowników i roczne obroty &gt; 10 mln EUR ≤ 50 mln EUR lub bilans w EUR &gt; 10 mln EUR ≤ 43 mln EUR);   Duże przedsiębiorstwa (&gt;250 pracowników i obroty &gt; 50 mln EUR lub bilans &gt; 43 mln EUR).   W przypadku przekroczenia jednego z dwóch progów (liczby pracowników lub rocznych obrót/bilansu) przedsiębiorstwa klasyfikuje się do wyższej kategorii wielkości.    (ESTAT na podstawie art. 2-3 załącznika do zalecenia KE 2003/361/WE)   Wielkość wspieranego przedsiębiorstwa jest mierzona w momencie wnioskowania</w:t>
            </w:r>
          </w:p>
        </w:tc>
      </w:tr>
      <w:tr w:rsidR="0021480F" w:rsidRPr="004534FE" w14:paraId="3C5D5E42" w14:textId="77777777" w:rsidTr="000D262C">
        <w:trPr>
          <w:trHeight w:val="625"/>
        </w:trPr>
        <w:tc>
          <w:tcPr>
            <w:tcW w:w="552" w:type="dxa"/>
            <w:vAlign w:val="center"/>
          </w:tcPr>
          <w:p w14:paraId="2C9C4D0B" w14:textId="77777777" w:rsidR="0021480F" w:rsidRPr="007F14ED" w:rsidRDefault="0021480F" w:rsidP="00EB00A4">
            <w:pPr>
              <w:spacing w:before="60" w:after="60"/>
              <w:rPr>
                <w:rFonts w:cstheme="minorHAnsi"/>
                <w:sz w:val="20"/>
                <w:szCs w:val="20"/>
              </w:rPr>
            </w:pPr>
            <w:r w:rsidRPr="007F14ED">
              <w:rPr>
                <w:rFonts w:cstheme="minorHAnsi"/>
                <w:sz w:val="20"/>
                <w:szCs w:val="20"/>
              </w:rPr>
              <w:t>1a.</w:t>
            </w:r>
          </w:p>
        </w:tc>
        <w:tc>
          <w:tcPr>
            <w:tcW w:w="2977" w:type="dxa"/>
            <w:vAlign w:val="center"/>
          </w:tcPr>
          <w:p w14:paraId="03447937" w14:textId="77777777" w:rsidR="0021480F" w:rsidRPr="00625664" w:rsidRDefault="0021480F" w:rsidP="00EB00A4">
            <w:pPr>
              <w:spacing w:before="60" w:after="60"/>
              <w:rPr>
                <w:rFonts w:cstheme="minorHAnsi"/>
                <w:i/>
                <w:sz w:val="20"/>
                <w:szCs w:val="20"/>
              </w:rPr>
            </w:pPr>
            <w:r w:rsidRPr="00625664">
              <w:rPr>
                <w:rFonts w:cstheme="minorHAnsi"/>
                <w:i/>
                <w:sz w:val="20"/>
                <w:szCs w:val="20"/>
              </w:rPr>
              <w:t>Liczba wspartych mikroprzedsiębiorstw</w:t>
            </w:r>
          </w:p>
        </w:tc>
        <w:tc>
          <w:tcPr>
            <w:tcW w:w="1134" w:type="dxa"/>
            <w:vAlign w:val="center"/>
          </w:tcPr>
          <w:p w14:paraId="74EADAC4"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vAlign w:val="center"/>
          </w:tcPr>
          <w:p w14:paraId="70D77C5A" w14:textId="77777777" w:rsidR="0021480F" w:rsidRPr="00625664" w:rsidRDefault="0021480F" w:rsidP="00EB00A4">
            <w:pPr>
              <w:spacing w:before="60" w:after="60"/>
              <w:rPr>
                <w:rFonts w:cstheme="minorHAnsi"/>
                <w:sz w:val="20"/>
                <w:szCs w:val="20"/>
              </w:rPr>
            </w:pPr>
            <w:r w:rsidRPr="00625664">
              <w:rPr>
                <w:rFonts w:cstheme="minorHAnsi"/>
                <w:sz w:val="20"/>
                <w:szCs w:val="20"/>
              </w:rPr>
              <w:t>produkt</w:t>
            </w:r>
          </w:p>
        </w:tc>
        <w:tc>
          <w:tcPr>
            <w:tcW w:w="1417" w:type="dxa"/>
            <w:vAlign w:val="center"/>
          </w:tcPr>
          <w:p w14:paraId="15CA6FE0" w14:textId="77777777"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vAlign w:val="center"/>
          </w:tcPr>
          <w:p w14:paraId="12329C80" w14:textId="77777777" w:rsidR="0021480F" w:rsidRPr="00625664" w:rsidRDefault="0021480F" w:rsidP="00EB00A4">
            <w:pPr>
              <w:spacing w:before="60" w:after="60"/>
              <w:rPr>
                <w:rFonts w:cstheme="minorHAnsi"/>
                <w:sz w:val="20"/>
                <w:szCs w:val="20"/>
              </w:rPr>
            </w:pPr>
            <w:r w:rsidRPr="00625664">
              <w:rPr>
                <w:rFonts w:cstheme="minorHAnsi"/>
                <w:sz w:val="20"/>
                <w:szCs w:val="20"/>
              </w:rPr>
              <w:t>-</w:t>
            </w:r>
          </w:p>
        </w:tc>
        <w:tc>
          <w:tcPr>
            <w:tcW w:w="5670" w:type="dxa"/>
          </w:tcPr>
          <w:p w14:paraId="3AAA8FD9" w14:textId="77777777" w:rsidR="0021480F" w:rsidRPr="00625664" w:rsidRDefault="0021480F" w:rsidP="00EB00A4">
            <w:pPr>
              <w:spacing w:before="60" w:after="60"/>
              <w:rPr>
                <w:rFonts w:cstheme="minorHAnsi"/>
                <w:sz w:val="20"/>
                <w:szCs w:val="20"/>
              </w:rPr>
            </w:pPr>
            <w:r w:rsidRPr="00625664">
              <w:rPr>
                <w:rFonts w:cstheme="minorHAnsi"/>
                <w:sz w:val="20"/>
                <w:szCs w:val="20"/>
              </w:rPr>
              <w:t xml:space="preserve">Wskaźnik obejmuje mikroprzedsiębiorstwa, które otrzymały wsparcie finansowe oraz pozafinansowe z Europejskiego Funduszu Rozwoju Regionalnego (EFRR) , Funduszu Spójności (FS) oraz Funduszu Sprawiedliwej Transformacji (FST). Definicja przedsiębiorstwa zgodna z definicją wskaźnika </w:t>
            </w:r>
            <w:r w:rsidRPr="00625664">
              <w:rPr>
                <w:rFonts w:cstheme="minorHAnsi"/>
                <w:i/>
                <w:sz w:val="20"/>
                <w:szCs w:val="20"/>
              </w:rPr>
              <w:t xml:space="preserve">Przedsiębiorstwa objęte wsparciem (w tym: mikro, małe, średnie, </w:t>
            </w:r>
            <w:proofErr w:type="spellStart"/>
            <w:r w:rsidRPr="00625664">
              <w:rPr>
                <w:rFonts w:cstheme="minorHAnsi"/>
                <w:i/>
                <w:sz w:val="20"/>
                <w:szCs w:val="20"/>
              </w:rPr>
              <w:t>duże</w:t>
            </w:r>
            <w:proofErr w:type="spellEnd"/>
            <w:r w:rsidRPr="00625664">
              <w:rPr>
                <w:rFonts w:cstheme="minorHAnsi"/>
                <w:i/>
                <w:sz w:val="20"/>
                <w:szCs w:val="20"/>
              </w:rPr>
              <w:t>)</w:t>
            </w:r>
            <w:r w:rsidRPr="00625664">
              <w:rPr>
                <w:rFonts w:cstheme="minorHAnsi"/>
                <w:sz w:val="20"/>
                <w:szCs w:val="20"/>
              </w:rPr>
              <w:t>. Zgodnie z zaleceniem KE (2003/361/EC) mikroprzedsiębiorstwo to przedsiębiorstwo zatrudniające mniej niż 10 osób oraz którego roczny obrót lub/i roczny bilans nie przekracza 2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tc>
      </w:tr>
      <w:tr w:rsidR="0021480F" w:rsidRPr="004534FE" w14:paraId="200316FE" w14:textId="77777777" w:rsidTr="000D262C">
        <w:trPr>
          <w:trHeight w:val="1121"/>
        </w:trPr>
        <w:tc>
          <w:tcPr>
            <w:tcW w:w="552" w:type="dxa"/>
            <w:tcBorders>
              <w:bottom w:val="single" w:sz="4" w:space="0" w:color="92D050"/>
            </w:tcBorders>
            <w:vAlign w:val="center"/>
          </w:tcPr>
          <w:p w14:paraId="64F5EF6D" w14:textId="77777777" w:rsidR="0021480F" w:rsidRPr="007F14ED" w:rsidRDefault="0021480F" w:rsidP="00EB00A4">
            <w:pPr>
              <w:spacing w:before="60" w:after="60"/>
              <w:rPr>
                <w:rFonts w:cstheme="minorHAnsi"/>
                <w:sz w:val="20"/>
                <w:szCs w:val="20"/>
              </w:rPr>
            </w:pPr>
            <w:r w:rsidRPr="007F14ED">
              <w:rPr>
                <w:rFonts w:cstheme="minorHAnsi"/>
                <w:sz w:val="20"/>
                <w:szCs w:val="20"/>
              </w:rPr>
              <w:t>1b.</w:t>
            </w:r>
          </w:p>
        </w:tc>
        <w:tc>
          <w:tcPr>
            <w:tcW w:w="2977" w:type="dxa"/>
            <w:tcBorders>
              <w:bottom w:val="single" w:sz="4" w:space="0" w:color="33CC33"/>
            </w:tcBorders>
            <w:vAlign w:val="center"/>
          </w:tcPr>
          <w:p w14:paraId="49EF268D" w14:textId="77777777" w:rsidR="0021480F" w:rsidRPr="00625664" w:rsidRDefault="0021480F" w:rsidP="00EB00A4">
            <w:pPr>
              <w:spacing w:before="60" w:after="60"/>
              <w:rPr>
                <w:rFonts w:cstheme="minorHAnsi"/>
                <w:i/>
                <w:sz w:val="20"/>
                <w:szCs w:val="20"/>
              </w:rPr>
            </w:pPr>
            <w:r w:rsidRPr="00625664">
              <w:rPr>
                <w:rFonts w:cstheme="minorHAnsi"/>
                <w:i/>
                <w:sz w:val="20"/>
                <w:szCs w:val="20"/>
              </w:rPr>
              <w:t>Liczba wspartych małych przedsiębiorstw</w:t>
            </w:r>
          </w:p>
          <w:p w14:paraId="76A6D605" w14:textId="77777777" w:rsidR="0021480F" w:rsidRPr="00625664" w:rsidRDefault="0021480F" w:rsidP="00EB00A4">
            <w:pPr>
              <w:spacing w:before="60" w:after="60"/>
              <w:rPr>
                <w:rFonts w:cstheme="minorHAnsi"/>
                <w:i/>
                <w:sz w:val="20"/>
                <w:szCs w:val="20"/>
              </w:rPr>
            </w:pPr>
          </w:p>
        </w:tc>
        <w:tc>
          <w:tcPr>
            <w:tcW w:w="1134" w:type="dxa"/>
            <w:tcBorders>
              <w:bottom w:val="single" w:sz="4" w:space="0" w:color="33CC33"/>
            </w:tcBorders>
            <w:vAlign w:val="center"/>
          </w:tcPr>
          <w:p w14:paraId="796D861C"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bottom w:val="single" w:sz="4" w:space="0" w:color="33CC33"/>
            </w:tcBorders>
            <w:vAlign w:val="center"/>
          </w:tcPr>
          <w:p w14:paraId="79BEC998" w14:textId="77777777" w:rsidR="0021480F" w:rsidRPr="00625664" w:rsidRDefault="0021480F" w:rsidP="00EB00A4">
            <w:pPr>
              <w:spacing w:before="60" w:after="60"/>
              <w:rPr>
                <w:rFonts w:cstheme="minorHAnsi"/>
                <w:sz w:val="20"/>
                <w:szCs w:val="20"/>
              </w:rPr>
            </w:pPr>
            <w:r w:rsidRPr="00625664">
              <w:rPr>
                <w:rFonts w:cstheme="minorHAnsi"/>
                <w:sz w:val="20"/>
                <w:szCs w:val="20"/>
              </w:rPr>
              <w:t>produkt</w:t>
            </w:r>
          </w:p>
        </w:tc>
        <w:tc>
          <w:tcPr>
            <w:tcW w:w="1417" w:type="dxa"/>
            <w:tcBorders>
              <w:bottom w:val="single" w:sz="4" w:space="0" w:color="33CC33"/>
            </w:tcBorders>
            <w:vAlign w:val="center"/>
          </w:tcPr>
          <w:p w14:paraId="2748BBF0" w14:textId="72E80762"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tcBorders>
              <w:bottom w:val="single" w:sz="4" w:space="0" w:color="33CC33"/>
            </w:tcBorders>
            <w:vAlign w:val="center"/>
          </w:tcPr>
          <w:p w14:paraId="2C5EB96F" w14:textId="77777777" w:rsidR="0021480F" w:rsidRPr="00625664" w:rsidRDefault="0021480F" w:rsidP="00EB00A4">
            <w:pPr>
              <w:spacing w:before="60" w:after="60"/>
              <w:rPr>
                <w:rFonts w:cstheme="minorHAnsi"/>
                <w:sz w:val="20"/>
                <w:szCs w:val="20"/>
              </w:rPr>
            </w:pPr>
            <w:r w:rsidRPr="00625664">
              <w:rPr>
                <w:rFonts w:cstheme="minorHAnsi"/>
                <w:sz w:val="20"/>
                <w:szCs w:val="20"/>
              </w:rPr>
              <w:t>-</w:t>
            </w:r>
          </w:p>
        </w:tc>
        <w:tc>
          <w:tcPr>
            <w:tcW w:w="5670" w:type="dxa"/>
            <w:tcBorders>
              <w:bottom w:val="single" w:sz="4" w:space="0" w:color="33CC33"/>
            </w:tcBorders>
            <w:vAlign w:val="center"/>
          </w:tcPr>
          <w:p w14:paraId="48FCA998" w14:textId="77777777" w:rsidR="0021480F" w:rsidRPr="00625664" w:rsidRDefault="0021480F" w:rsidP="00EB00A4">
            <w:pPr>
              <w:spacing w:before="60" w:after="60"/>
              <w:rPr>
                <w:rFonts w:cstheme="minorHAnsi"/>
                <w:sz w:val="20"/>
                <w:szCs w:val="20"/>
              </w:rPr>
            </w:pPr>
            <w:r w:rsidRPr="00625664">
              <w:rPr>
                <w:rFonts w:cstheme="minorHAnsi"/>
                <w:sz w:val="20"/>
                <w:szCs w:val="20"/>
              </w:rPr>
              <w:t xml:space="preserve">Wskaźnik obejmuje małe przedsiębiorstwa, które otrzymały wsparcie finansowe oraz pozafinansowe z Europejskiego Funduszu Rozwoju Regionalnego (EFRR) , Funduszu Spójności (FS) oraz Funduszu Sprawiedliwej Transformacji (FST).    Definicja przedsiębiorstwa zgodna z definicją wskaźnika </w:t>
            </w:r>
            <w:r w:rsidRPr="00625664">
              <w:rPr>
                <w:rFonts w:cstheme="minorHAnsi"/>
                <w:i/>
                <w:sz w:val="20"/>
                <w:szCs w:val="20"/>
              </w:rPr>
              <w:t xml:space="preserve">Przedsiębiorstwa objęte wsparciem (w tym: mikro, małe, średnie, </w:t>
            </w:r>
            <w:proofErr w:type="spellStart"/>
            <w:r w:rsidRPr="00625664">
              <w:rPr>
                <w:rFonts w:cstheme="minorHAnsi"/>
                <w:i/>
                <w:sz w:val="20"/>
                <w:szCs w:val="20"/>
              </w:rPr>
              <w:t>duże</w:t>
            </w:r>
            <w:proofErr w:type="spellEnd"/>
            <w:r w:rsidRPr="00625664">
              <w:rPr>
                <w:rFonts w:cstheme="minorHAnsi"/>
                <w:i/>
                <w:sz w:val="20"/>
                <w:szCs w:val="20"/>
              </w:rPr>
              <w:t>).</w:t>
            </w:r>
            <w:r w:rsidRPr="00625664">
              <w:rPr>
                <w:rFonts w:cstheme="minorHAnsi"/>
                <w:sz w:val="20"/>
                <w:szCs w:val="20"/>
              </w:rPr>
              <w:t xml:space="preserve"> Zgodnie z zaleceniem KE (2003/361/EC) małe przedsiębiorstwo to przedsiębiorstwo zatrudniające mniej niż  50 osób oraz którego roczny obrót lub/i roczny bilans nie przekracza  10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tc>
      </w:tr>
      <w:tr w:rsidR="0021480F" w:rsidRPr="004534FE" w14:paraId="0E946A60" w14:textId="77777777" w:rsidTr="000D262C">
        <w:trPr>
          <w:trHeight w:val="767"/>
        </w:trPr>
        <w:tc>
          <w:tcPr>
            <w:tcW w:w="552" w:type="dxa"/>
            <w:tcBorders>
              <w:top w:val="single" w:sz="4" w:space="0" w:color="92D050"/>
              <w:bottom w:val="single" w:sz="4" w:space="0" w:color="33CC33"/>
            </w:tcBorders>
            <w:vAlign w:val="center"/>
          </w:tcPr>
          <w:p w14:paraId="3195E1E5" w14:textId="77777777" w:rsidR="0021480F" w:rsidRPr="007F14ED" w:rsidRDefault="0021480F" w:rsidP="00EB00A4">
            <w:pPr>
              <w:spacing w:before="60" w:after="60"/>
              <w:rPr>
                <w:rFonts w:cstheme="minorHAnsi"/>
                <w:sz w:val="20"/>
                <w:szCs w:val="20"/>
              </w:rPr>
            </w:pPr>
            <w:r w:rsidRPr="007F14ED">
              <w:rPr>
                <w:rFonts w:cstheme="minorHAnsi"/>
                <w:sz w:val="20"/>
                <w:szCs w:val="20"/>
              </w:rPr>
              <w:t>1c.</w:t>
            </w:r>
          </w:p>
        </w:tc>
        <w:tc>
          <w:tcPr>
            <w:tcW w:w="2977" w:type="dxa"/>
            <w:tcBorders>
              <w:top w:val="single" w:sz="4" w:space="0" w:color="33CC33"/>
              <w:bottom w:val="single" w:sz="4" w:space="0" w:color="33CC33"/>
            </w:tcBorders>
            <w:vAlign w:val="center"/>
          </w:tcPr>
          <w:p w14:paraId="5E07DCF1" w14:textId="77777777" w:rsidR="0021480F" w:rsidRPr="00625664" w:rsidRDefault="0021480F" w:rsidP="00EB00A4">
            <w:pPr>
              <w:spacing w:before="60" w:after="60"/>
              <w:rPr>
                <w:rFonts w:cstheme="minorHAnsi"/>
                <w:i/>
                <w:sz w:val="20"/>
                <w:szCs w:val="20"/>
              </w:rPr>
            </w:pPr>
            <w:r w:rsidRPr="00625664">
              <w:rPr>
                <w:rFonts w:cstheme="minorHAnsi"/>
                <w:i/>
                <w:sz w:val="20"/>
                <w:szCs w:val="20"/>
              </w:rPr>
              <w:t>Liczba wspartych średnich przedsiębiorstw</w:t>
            </w:r>
          </w:p>
        </w:tc>
        <w:tc>
          <w:tcPr>
            <w:tcW w:w="1134" w:type="dxa"/>
            <w:tcBorders>
              <w:top w:val="single" w:sz="4" w:space="0" w:color="33CC33"/>
              <w:bottom w:val="single" w:sz="4" w:space="0" w:color="33CC33"/>
            </w:tcBorders>
            <w:vAlign w:val="center"/>
          </w:tcPr>
          <w:p w14:paraId="6EB3DFB7"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4" w:space="0" w:color="33CC33"/>
              <w:bottom w:val="single" w:sz="4" w:space="0" w:color="33CC33"/>
            </w:tcBorders>
            <w:vAlign w:val="center"/>
          </w:tcPr>
          <w:p w14:paraId="059A6B57" w14:textId="77777777" w:rsidR="0021480F" w:rsidRPr="00625664" w:rsidRDefault="0021480F" w:rsidP="00EB00A4">
            <w:pPr>
              <w:spacing w:before="60" w:after="60"/>
              <w:rPr>
                <w:rFonts w:cstheme="minorHAnsi"/>
                <w:sz w:val="20"/>
                <w:szCs w:val="20"/>
              </w:rPr>
            </w:pPr>
            <w:r w:rsidRPr="00625664">
              <w:rPr>
                <w:rFonts w:cstheme="minorHAnsi"/>
                <w:sz w:val="20"/>
                <w:szCs w:val="20"/>
              </w:rPr>
              <w:t>produkt</w:t>
            </w:r>
          </w:p>
        </w:tc>
        <w:tc>
          <w:tcPr>
            <w:tcW w:w="1417" w:type="dxa"/>
            <w:tcBorders>
              <w:top w:val="single" w:sz="4" w:space="0" w:color="33CC33"/>
              <w:bottom w:val="single" w:sz="4" w:space="0" w:color="33CC33"/>
            </w:tcBorders>
            <w:vAlign w:val="center"/>
          </w:tcPr>
          <w:p w14:paraId="1014A5D3" w14:textId="77777777"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tcBorders>
              <w:top w:val="single" w:sz="4" w:space="0" w:color="33CC33"/>
              <w:bottom w:val="single" w:sz="4" w:space="0" w:color="33CC33"/>
            </w:tcBorders>
            <w:vAlign w:val="center"/>
          </w:tcPr>
          <w:p w14:paraId="032A527E" w14:textId="77777777" w:rsidR="0021480F" w:rsidRPr="00625664" w:rsidRDefault="0021480F" w:rsidP="00EB00A4">
            <w:pPr>
              <w:spacing w:before="60" w:after="60"/>
              <w:rPr>
                <w:rFonts w:cstheme="minorHAnsi"/>
                <w:sz w:val="20"/>
                <w:szCs w:val="20"/>
              </w:rPr>
            </w:pPr>
            <w:r w:rsidRPr="00625664">
              <w:rPr>
                <w:rFonts w:cstheme="minorHAnsi"/>
                <w:sz w:val="20"/>
                <w:szCs w:val="20"/>
              </w:rPr>
              <w:t>-</w:t>
            </w:r>
          </w:p>
        </w:tc>
        <w:tc>
          <w:tcPr>
            <w:tcW w:w="5670" w:type="dxa"/>
            <w:tcBorders>
              <w:top w:val="single" w:sz="4" w:space="0" w:color="33CC33"/>
              <w:bottom w:val="single" w:sz="4" w:space="0" w:color="33CC33"/>
            </w:tcBorders>
            <w:vAlign w:val="center"/>
          </w:tcPr>
          <w:p w14:paraId="09AB6027" w14:textId="77777777" w:rsidR="0021480F" w:rsidRPr="00625664" w:rsidRDefault="0021480F" w:rsidP="00EB00A4">
            <w:pPr>
              <w:spacing w:before="60" w:after="60"/>
              <w:rPr>
                <w:rFonts w:cstheme="minorHAnsi"/>
                <w:sz w:val="20"/>
                <w:szCs w:val="20"/>
              </w:rPr>
            </w:pPr>
            <w:r w:rsidRPr="00625664">
              <w:rPr>
                <w:rFonts w:cstheme="minorHAnsi"/>
                <w:sz w:val="20"/>
                <w:szCs w:val="20"/>
              </w:rPr>
              <w:t xml:space="preserve">Wskaźnik obejmuje średnie przedsiębiorstwa, które otrzymały wsparcie finansowe oraz pozafinansowe z Europejskiego Funduszu Rozwoju Regionalnego (EFRR) , Funduszu Spójności (FS) oraz Funduszu Sprawiedliwej Transformacji (FST). Definicja przedsiębiorstwa zgodna z definicją wskaźnika </w:t>
            </w:r>
            <w:r w:rsidRPr="00625664">
              <w:rPr>
                <w:rFonts w:cstheme="minorHAnsi"/>
                <w:i/>
                <w:sz w:val="20"/>
                <w:szCs w:val="20"/>
              </w:rPr>
              <w:t xml:space="preserve">Przedsiębiorstwa objęte wsparciem (w tym: mikro, małe, średnie, </w:t>
            </w:r>
            <w:proofErr w:type="spellStart"/>
            <w:r w:rsidRPr="00625664">
              <w:rPr>
                <w:rFonts w:cstheme="minorHAnsi"/>
                <w:i/>
                <w:sz w:val="20"/>
                <w:szCs w:val="20"/>
              </w:rPr>
              <w:t>duże</w:t>
            </w:r>
            <w:proofErr w:type="spellEnd"/>
            <w:r w:rsidRPr="00625664">
              <w:rPr>
                <w:rFonts w:cstheme="minorHAnsi"/>
                <w:i/>
                <w:sz w:val="20"/>
                <w:szCs w:val="20"/>
              </w:rPr>
              <w:t>).</w:t>
            </w:r>
            <w:r w:rsidRPr="00625664">
              <w:rPr>
                <w:rFonts w:cstheme="minorHAnsi"/>
                <w:sz w:val="20"/>
                <w:szCs w:val="20"/>
              </w:rPr>
              <w:t xml:space="preserve"> Zgodnie z zaleceniem KE (2003/361/EC) średnie przedsiębiorstwo to przedsiębiorstwo zatrudniające od 50 do 249  osób oraz którego roczny obrót wynosi  nie przekracza 50 mln EUR lub/i roczny bilans nie przekracza43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tc>
      </w:tr>
      <w:tr w:rsidR="0021480F" w:rsidRPr="004534FE" w14:paraId="67A38415" w14:textId="77777777" w:rsidTr="000D262C">
        <w:tc>
          <w:tcPr>
            <w:tcW w:w="552" w:type="dxa"/>
            <w:tcBorders>
              <w:top w:val="single" w:sz="4" w:space="0" w:color="33CC33"/>
              <w:bottom w:val="single" w:sz="4" w:space="0" w:color="33CC33"/>
            </w:tcBorders>
            <w:vAlign w:val="center"/>
          </w:tcPr>
          <w:p w14:paraId="6EC1A3CE" w14:textId="77777777" w:rsidR="0021480F" w:rsidRPr="007F14ED" w:rsidRDefault="0021480F" w:rsidP="00EB00A4">
            <w:pPr>
              <w:spacing w:before="60" w:after="60"/>
              <w:rPr>
                <w:rFonts w:cstheme="minorHAnsi"/>
                <w:sz w:val="20"/>
                <w:szCs w:val="20"/>
              </w:rPr>
            </w:pPr>
            <w:r w:rsidRPr="007F14ED">
              <w:rPr>
                <w:rFonts w:cstheme="minorHAnsi"/>
                <w:sz w:val="20"/>
                <w:szCs w:val="20"/>
              </w:rPr>
              <w:t>2.</w:t>
            </w:r>
          </w:p>
        </w:tc>
        <w:tc>
          <w:tcPr>
            <w:tcW w:w="2977" w:type="dxa"/>
            <w:tcBorders>
              <w:top w:val="single" w:sz="4" w:space="0" w:color="33CC33"/>
              <w:bottom w:val="single" w:sz="4" w:space="0" w:color="33CC33"/>
            </w:tcBorders>
            <w:vAlign w:val="center"/>
          </w:tcPr>
          <w:p w14:paraId="15B5F69C" w14:textId="77777777" w:rsidR="0021480F" w:rsidRPr="00625664" w:rsidRDefault="0021480F" w:rsidP="00EB00A4">
            <w:pPr>
              <w:spacing w:before="60" w:after="60"/>
              <w:rPr>
                <w:rFonts w:cstheme="minorHAnsi"/>
                <w:i/>
                <w:sz w:val="20"/>
                <w:szCs w:val="20"/>
              </w:rPr>
            </w:pPr>
            <w:r w:rsidRPr="00625664">
              <w:rPr>
                <w:rFonts w:cstheme="minorHAnsi"/>
                <w:i/>
                <w:sz w:val="20"/>
                <w:szCs w:val="20"/>
              </w:rPr>
              <w:t>Przedsiębiorstwa objęte wsparciem w formie dotacji</w:t>
            </w:r>
          </w:p>
          <w:p w14:paraId="00C27599" w14:textId="77777777" w:rsidR="0021480F" w:rsidRPr="00625664" w:rsidRDefault="0021480F" w:rsidP="00EB00A4">
            <w:pPr>
              <w:spacing w:before="60" w:after="60"/>
              <w:rPr>
                <w:rFonts w:cstheme="minorHAnsi"/>
                <w:i/>
                <w:sz w:val="20"/>
                <w:szCs w:val="20"/>
              </w:rPr>
            </w:pPr>
          </w:p>
        </w:tc>
        <w:tc>
          <w:tcPr>
            <w:tcW w:w="1134" w:type="dxa"/>
            <w:tcBorders>
              <w:top w:val="single" w:sz="4" w:space="0" w:color="33CC33"/>
              <w:bottom w:val="single" w:sz="4" w:space="0" w:color="33CC33"/>
            </w:tcBorders>
            <w:vAlign w:val="center"/>
          </w:tcPr>
          <w:p w14:paraId="3F262787"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4" w:space="0" w:color="33CC33"/>
              <w:bottom w:val="single" w:sz="4" w:space="0" w:color="33CC33"/>
            </w:tcBorders>
            <w:vAlign w:val="center"/>
          </w:tcPr>
          <w:p w14:paraId="35C741AF" w14:textId="77777777" w:rsidR="0021480F" w:rsidRPr="00625664" w:rsidRDefault="0021480F" w:rsidP="00EB00A4">
            <w:pPr>
              <w:spacing w:before="60" w:after="60"/>
              <w:rPr>
                <w:rFonts w:cstheme="minorHAnsi"/>
                <w:sz w:val="20"/>
                <w:szCs w:val="20"/>
              </w:rPr>
            </w:pPr>
            <w:r w:rsidRPr="00625664">
              <w:rPr>
                <w:rFonts w:cstheme="minorHAnsi"/>
                <w:sz w:val="20"/>
                <w:szCs w:val="20"/>
              </w:rPr>
              <w:t>produkt</w:t>
            </w:r>
          </w:p>
        </w:tc>
        <w:tc>
          <w:tcPr>
            <w:tcW w:w="1417" w:type="dxa"/>
            <w:tcBorders>
              <w:top w:val="single" w:sz="4" w:space="0" w:color="33CC33"/>
              <w:bottom w:val="single" w:sz="4" w:space="0" w:color="33CC33"/>
            </w:tcBorders>
            <w:vAlign w:val="center"/>
          </w:tcPr>
          <w:p w14:paraId="382F9B22" w14:textId="77777777" w:rsidR="0021480F" w:rsidRPr="00625664" w:rsidRDefault="0021480F" w:rsidP="00EB00A4">
            <w:pPr>
              <w:spacing w:before="60" w:after="60"/>
              <w:rPr>
                <w:rFonts w:cstheme="minorHAnsi"/>
                <w:sz w:val="20"/>
                <w:szCs w:val="20"/>
              </w:rPr>
            </w:pPr>
            <w:r w:rsidRPr="00625664">
              <w:rPr>
                <w:rFonts w:cstheme="minorHAnsi"/>
                <w:sz w:val="20"/>
                <w:szCs w:val="20"/>
              </w:rPr>
              <w:t>kluczowy</w:t>
            </w:r>
          </w:p>
        </w:tc>
        <w:tc>
          <w:tcPr>
            <w:tcW w:w="1276" w:type="dxa"/>
            <w:tcBorders>
              <w:top w:val="single" w:sz="4" w:space="0" w:color="33CC33"/>
              <w:bottom w:val="single" w:sz="4" w:space="0" w:color="33CC33"/>
            </w:tcBorders>
            <w:vAlign w:val="center"/>
          </w:tcPr>
          <w:p w14:paraId="155F48E9"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programowy</w:t>
            </w:r>
          </w:p>
        </w:tc>
        <w:tc>
          <w:tcPr>
            <w:tcW w:w="5670" w:type="dxa"/>
            <w:tcBorders>
              <w:top w:val="single" w:sz="4" w:space="0" w:color="33CC33"/>
              <w:bottom w:val="single" w:sz="4" w:space="0" w:color="33CC33"/>
            </w:tcBorders>
          </w:tcPr>
          <w:p w14:paraId="037CD928" w14:textId="77777777" w:rsidR="0021480F" w:rsidRPr="00625664" w:rsidRDefault="0021480F" w:rsidP="00EB00A4">
            <w:pPr>
              <w:spacing w:before="60" w:after="60"/>
              <w:rPr>
                <w:rFonts w:cstheme="minorHAnsi"/>
                <w:i/>
                <w:sz w:val="20"/>
                <w:szCs w:val="20"/>
              </w:rPr>
            </w:pPr>
            <w:r w:rsidRPr="00625664">
              <w:rPr>
                <w:rFonts w:cstheme="minorHAnsi"/>
                <w:sz w:val="20"/>
                <w:szCs w:val="20"/>
              </w:rPr>
              <w:t>Liczba przedsiębiorstw otrzymujących wsparcie finansowe w formie dotacji. Definicja przedsiębiorstwa znajduje się we wskaźniku</w:t>
            </w:r>
            <w:r w:rsidRPr="00625664">
              <w:rPr>
                <w:rFonts w:cstheme="minorHAnsi"/>
                <w:i/>
                <w:sz w:val="20"/>
                <w:szCs w:val="20"/>
              </w:rPr>
              <w:t xml:space="preserve"> Przedsiębiorstwa objęte wsparciem (w tym: mikro, małe, średnie, </w:t>
            </w:r>
            <w:proofErr w:type="spellStart"/>
            <w:r w:rsidRPr="00625664">
              <w:rPr>
                <w:rFonts w:cstheme="minorHAnsi"/>
                <w:i/>
                <w:sz w:val="20"/>
                <w:szCs w:val="20"/>
              </w:rPr>
              <w:t>duże</w:t>
            </w:r>
            <w:proofErr w:type="spellEnd"/>
            <w:r w:rsidRPr="00625664">
              <w:rPr>
                <w:rFonts w:cstheme="minorHAnsi"/>
                <w:i/>
                <w:sz w:val="20"/>
                <w:szCs w:val="20"/>
              </w:rPr>
              <w:t>).</w:t>
            </w:r>
          </w:p>
        </w:tc>
      </w:tr>
      <w:tr w:rsidR="0021480F" w:rsidRPr="004534FE" w14:paraId="6B3A4A1C" w14:textId="77777777" w:rsidTr="000D262C">
        <w:tc>
          <w:tcPr>
            <w:tcW w:w="552" w:type="dxa"/>
            <w:tcBorders>
              <w:top w:val="single" w:sz="4" w:space="0" w:color="33CC33"/>
              <w:bottom w:val="single" w:sz="4" w:space="0" w:color="33CC33"/>
            </w:tcBorders>
            <w:vAlign w:val="center"/>
          </w:tcPr>
          <w:p w14:paraId="070F0E72" w14:textId="77777777" w:rsidR="0021480F" w:rsidRPr="007F14ED" w:rsidRDefault="0021480F" w:rsidP="00EB00A4">
            <w:pPr>
              <w:spacing w:before="60" w:after="60"/>
              <w:rPr>
                <w:rFonts w:cstheme="minorHAnsi"/>
                <w:sz w:val="20"/>
                <w:szCs w:val="20"/>
              </w:rPr>
            </w:pPr>
            <w:r w:rsidRPr="007F14ED">
              <w:rPr>
                <w:rFonts w:cstheme="minorHAnsi"/>
                <w:sz w:val="20"/>
                <w:szCs w:val="20"/>
              </w:rPr>
              <w:t>3.</w:t>
            </w:r>
          </w:p>
        </w:tc>
        <w:tc>
          <w:tcPr>
            <w:tcW w:w="2977" w:type="dxa"/>
            <w:tcBorders>
              <w:top w:val="single" w:sz="4" w:space="0" w:color="33CC33"/>
              <w:bottom w:val="single" w:sz="4" w:space="0" w:color="33CC33"/>
            </w:tcBorders>
            <w:vAlign w:val="center"/>
          </w:tcPr>
          <w:p w14:paraId="67A9E5B5" w14:textId="77777777" w:rsidR="0021480F" w:rsidRPr="008A389C" w:rsidRDefault="0021480F" w:rsidP="00EB00A4">
            <w:pPr>
              <w:spacing w:before="60" w:after="60"/>
              <w:rPr>
                <w:rFonts w:cstheme="minorHAnsi"/>
                <w:i/>
                <w:sz w:val="20"/>
                <w:szCs w:val="20"/>
              </w:rPr>
            </w:pPr>
            <w:r w:rsidRPr="008A389C">
              <w:rPr>
                <w:rFonts w:cstheme="minorHAnsi"/>
                <w:i/>
                <w:sz w:val="20"/>
                <w:szCs w:val="20"/>
              </w:rPr>
              <w:t>Liczba przedsiębiorstw otrzymujących wsparcie w zakresie transformacji w kierunku zrównoważonego rozwoju</w:t>
            </w:r>
          </w:p>
          <w:p w14:paraId="7BDE36BA" w14:textId="77777777" w:rsidR="0021480F" w:rsidRPr="008A389C" w:rsidRDefault="0021480F" w:rsidP="00EB00A4">
            <w:pPr>
              <w:spacing w:before="60" w:after="60"/>
              <w:rPr>
                <w:rFonts w:cstheme="minorHAnsi"/>
                <w:i/>
                <w:sz w:val="20"/>
                <w:szCs w:val="20"/>
              </w:rPr>
            </w:pPr>
          </w:p>
        </w:tc>
        <w:tc>
          <w:tcPr>
            <w:tcW w:w="1134" w:type="dxa"/>
            <w:tcBorders>
              <w:top w:val="single" w:sz="4" w:space="0" w:color="33CC33"/>
              <w:bottom w:val="single" w:sz="4" w:space="0" w:color="33CC33"/>
            </w:tcBorders>
            <w:vAlign w:val="center"/>
          </w:tcPr>
          <w:p w14:paraId="16E685F1" w14:textId="77777777" w:rsidR="0021480F" w:rsidRPr="008A389C" w:rsidRDefault="0021480F" w:rsidP="00EB00A4">
            <w:pPr>
              <w:spacing w:before="60" w:after="60"/>
              <w:rPr>
                <w:rFonts w:cstheme="minorHAnsi"/>
                <w:sz w:val="20"/>
                <w:szCs w:val="20"/>
              </w:rPr>
            </w:pPr>
            <w:r w:rsidRPr="008A389C">
              <w:rPr>
                <w:rFonts w:cstheme="minorHAnsi"/>
                <w:sz w:val="20"/>
                <w:szCs w:val="20"/>
              </w:rPr>
              <w:t>szt.</w:t>
            </w:r>
          </w:p>
        </w:tc>
        <w:tc>
          <w:tcPr>
            <w:tcW w:w="1418" w:type="dxa"/>
            <w:tcBorders>
              <w:top w:val="single" w:sz="4" w:space="0" w:color="33CC33"/>
              <w:bottom w:val="single" w:sz="4" w:space="0" w:color="33CC33"/>
            </w:tcBorders>
            <w:vAlign w:val="center"/>
          </w:tcPr>
          <w:p w14:paraId="24AD3882" w14:textId="77777777" w:rsidR="0021480F" w:rsidRPr="008A389C" w:rsidRDefault="0021480F" w:rsidP="00EB00A4">
            <w:pPr>
              <w:spacing w:before="60" w:after="60"/>
              <w:rPr>
                <w:rFonts w:cstheme="minorHAnsi"/>
                <w:sz w:val="20"/>
                <w:szCs w:val="20"/>
              </w:rPr>
            </w:pPr>
            <w:r w:rsidRPr="008A389C">
              <w:rPr>
                <w:rFonts w:cstheme="minorHAnsi"/>
                <w:sz w:val="20"/>
                <w:szCs w:val="20"/>
              </w:rPr>
              <w:t>produkt</w:t>
            </w:r>
          </w:p>
        </w:tc>
        <w:tc>
          <w:tcPr>
            <w:tcW w:w="1417" w:type="dxa"/>
            <w:tcBorders>
              <w:top w:val="single" w:sz="4" w:space="0" w:color="33CC33"/>
              <w:bottom w:val="single" w:sz="4" w:space="0" w:color="33CC33"/>
            </w:tcBorders>
            <w:vAlign w:val="center"/>
          </w:tcPr>
          <w:p w14:paraId="245D916B" w14:textId="77777777" w:rsidR="0021480F" w:rsidRPr="008A389C" w:rsidRDefault="0021480F" w:rsidP="00EB00A4">
            <w:pPr>
              <w:spacing w:before="60" w:after="60"/>
              <w:rPr>
                <w:rFonts w:cstheme="minorHAnsi"/>
                <w:sz w:val="20"/>
                <w:szCs w:val="20"/>
              </w:rPr>
            </w:pPr>
            <w:r w:rsidRPr="008A389C">
              <w:rPr>
                <w:rFonts w:cstheme="minorHAnsi"/>
                <w:sz w:val="20"/>
                <w:szCs w:val="20"/>
              </w:rPr>
              <w:t>kluczowy</w:t>
            </w:r>
          </w:p>
        </w:tc>
        <w:tc>
          <w:tcPr>
            <w:tcW w:w="1276" w:type="dxa"/>
            <w:tcBorders>
              <w:top w:val="single" w:sz="4" w:space="0" w:color="33CC33"/>
              <w:bottom w:val="single" w:sz="4" w:space="0" w:color="33CC33"/>
            </w:tcBorders>
            <w:vAlign w:val="center"/>
          </w:tcPr>
          <w:p w14:paraId="34A08692" w14:textId="77777777" w:rsidR="0021480F" w:rsidRPr="008A389C" w:rsidRDefault="0021480F" w:rsidP="00EB00A4">
            <w:pPr>
              <w:spacing w:before="60" w:after="60"/>
              <w:rPr>
                <w:rFonts w:cstheme="minorHAnsi"/>
                <w:sz w:val="20"/>
                <w:szCs w:val="20"/>
              </w:rPr>
            </w:pPr>
            <w:r w:rsidRPr="008A389C">
              <w:rPr>
                <w:rFonts w:cstheme="minorHAnsi"/>
                <w:sz w:val="20"/>
                <w:szCs w:val="20"/>
              </w:rPr>
              <w:t>-</w:t>
            </w:r>
          </w:p>
        </w:tc>
        <w:tc>
          <w:tcPr>
            <w:tcW w:w="5670" w:type="dxa"/>
            <w:tcBorders>
              <w:top w:val="single" w:sz="4" w:space="0" w:color="33CC33"/>
              <w:bottom w:val="single" w:sz="4" w:space="0" w:color="33CC33"/>
            </w:tcBorders>
          </w:tcPr>
          <w:p w14:paraId="0D575A92" w14:textId="77777777" w:rsidR="0021480F" w:rsidRPr="008A389C" w:rsidRDefault="0021480F" w:rsidP="00EB00A4">
            <w:pPr>
              <w:spacing w:before="60" w:after="60"/>
              <w:rPr>
                <w:rFonts w:cstheme="minorHAnsi"/>
                <w:sz w:val="20"/>
                <w:szCs w:val="20"/>
              </w:rPr>
            </w:pPr>
            <w:r w:rsidRPr="008A389C">
              <w:rPr>
                <w:rFonts w:cstheme="minorHAnsi"/>
                <w:sz w:val="20"/>
                <w:szCs w:val="20"/>
              </w:rPr>
              <w:t xml:space="preserve">W ramach wskaźnika monitorowana będzie liczba przedsiębiorstw otrzymujących wsparcie na podejmowanie działań dotyczących transformacji w kierunku celów środowiskowych zrównoważonego rozwoju, w tym gospodarki o obiegu zamkniętym, łagodzenia zmian klimatu i adaptacji do zmian klimatu oraz wszystkich innych działań związanych z tzw. zazielenianiem przedsiębiorstw (w tym </w:t>
            </w:r>
            <w:proofErr w:type="spellStart"/>
            <w:r w:rsidRPr="008A389C">
              <w:rPr>
                <w:rFonts w:cstheme="minorHAnsi"/>
                <w:sz w:val="20"/>
                <w:szCs w:val="20"/>
              </w:rPr>
              <w:t>wdrażeniem</w:t>
            </w:r>
            <w:proofErr w:type="spellEnd"/>
            <w:r w:rsidRPr="008A389C">
              <w:rPr>
                <w:rFonts w:cstheme="minorHAnsi"/>
                <w:sz w:val="20"/>
                <w:szCs w:val="20"/>
              </w:rPr>
              <w:t xml:space="preserve"> wyników B+R związanych ze zrównoważonym rozwojem) wykazanych w związku z realizacją projektu.</w:t>
            </w:r>
          </w:p>
        </w:tc>
      </w:tr>
      <w:tr w:rsidR="0021480F" w:rsidRPr="004534FE" w14:paraId="08B2902F" w14:textId="77777777" w:rsidTr="000D262C">
        <w:trPr>
          <w:trHeight w:val="483"/>
        </w:trPr>
        <w:tc>
          <w:tcPr>
            <w:tcW w:w="552" w:type="dxa"/>
            <w:tcBorders>
              <w:top w:val="single" w:sz="4" w:space="0" w:color="33CC33"/>
            </w:tcBorders>
            <w:vAlign w:val="center"/>
          </w:tcPr>
          <w:p w14:paraId="363A016B" w14:textId="77777777" w:rsidR="0021480F" w:rsidRPr="007F14ED" w:rsidRDefault="0021480F" w:rsidP="00EB00A4">
            <w:pPr>
              <w:spacing w:before="60" w:after="60"/>
              <w:rPr>
                <w:rFonts w:cstheme="minorHAnsi"/>
                <w:sz w:val="20"/>
                <w:szCs w:val="20"/>
              </w:rPr>
            </w:pPr>
            <w:r w:rsidRPr="007F14ED">
              <w:rPr>
                <w:rFonts w:cstheme="minorHAnsi"/>
                <w:sz w:val="20"/>
                <w:szCs w:val="20"/>
              </w:rPr>
              <w:t>4.</w:t>
            </w:r>
          </w:p>
        </w:tc>
        <w:tc>
          <w:tcPr>
            <w:tcW w:w="2977" w:type="dxa"/>
            <w:tcBorders>
              <w:top w:val="single" w:sz="4" w:space="0" w:color="33CC33"/>
            </w:tcBorders>
            <w:vAlign w:val="center"/>
          </w:tcPr>
          <w:p w14:paraId="6A55396A" w14:textId="4A7024B3" w:rsidR="0021480F" w:rsidRPr="00625664" w:rsidRDefault="0021480F" w:rsidP="00EB00A4">
            <w:pPr>
              <w:spacing w:before="60" w:after="60"/>
              <w:rPr>
                <w:rFonts w:cstheme="minorHAnsi"/>
                <w:i/>
                <w:sz w:val="20"/>
                <w:szCs w:val="20"/>
              </w:rPr>
            </w:pPr>
            <w:r w:rsidRPr="00625664">
              <w:rPr>
                <w:rFonts w:cstheme="minorHAnsi"/>
                <w:i/>
                <w:sz w:val="20"/>
                <w:szCs w:val="20"/>
              </w:rPr>
              <w:t>Inwestycje prywatne uzupełniające wsparcie publiczne (w tym: dotacje, instrumenty finansowe)</w:t>
            </w:r>
          </w:p>
          <w:p w14:paraId="628885A7" w14:textId="77777777" w:rsidR="0021480F" w:rsidRPr="00625664" w:rsidRDefault="0021480F" w:rsidP="00EB00A4">
            <w:pPr>
              <w:spacing w:before="60" w:after="60"/>
              <w:rPr>
                <w:rFonts w:cstheme="minorHAnsi"/>
                <w:i/>
                <w:sz w:val="20"/>
                <w:szCs w:val="20"/>
              </w:rPr>
            </w:pPr>
          </w:p>
        </w:tc>
        <w:tc>
          <w:tcPr>
            <w:tcW w:w="1134" w:type="dxa"/>
            <w:tcBorders>
              <w:top w:val="single" w:sz="4" w:space="0" w:color="33CC33"/>
            </w:tcBorders>
            <w:vAlign w:val="center"/>
          </w:tcPr>
          <w:p w14:paraId="2A7C31F5" w14:textId="77777777" w:rsidR="0021480F" w:rsidRPr="00625664" w:rsidRDefault="0021480F" w:rsidP="00EB00A4">
            <w:pPr>
              <w:spacing w:before="60" w:after="60"/>
              <w:rPr>
                <w:rFonts w:cstheme="minorHAnsi"/>
                <w:sz w:val="20"/>
                <w:szCs w:val="20"/>
              </w:rPr>
            </w:pPr>
            <w:r w:rsidRPr="00625664">
              <w:rPr>
                <w:rFonts w:cstheme="minorHAnsi"/>
                <w:sz w:val="20"/>
                <w:szCs w:val="20"/>
              </w:rPr>
              <w:t>Euro</w:t>
            </w:r>
          </w:p>
        </w:tc>
        <w:tc>
          <w:tcPr>
            <w:tcW w:w="1418" w:type="dxa"/>
            <w:tcBorders>
              <w:top w:val="single" w:sz="4" w:space="0" w:color="33CC33"/>
            </w:tcBorders>
            <w:vAlign w:val="center"/>
          </w:tcPr>
          <w:p w14:paraId="7995591F" w14:textId="77777777" w:rsidR="0021480F" w:rsidRPr="00625664" w:rsidRDefault="0021480F" w:rsidP="00EB00A4">
            <w:pPr>
              <w:spacing w:before="60" w:after="60"/>
              <w:rPr>
                <w:rFonts w:cstheme="minorHAnsi"/>
                <w:sz w:val="20"/>
                <w:szCs w:val="20"/>
              </w:rPr>
            </w:pPr>
            <w:r w:rsidRPr="00625664">
              <w:rPr>
                <w:rFonts w:cstheme="minorHAnsi"/>
                <w:sz w:val="20"/>
                <w:szCs w:val="20"/>
              </w:rPr>
              <w:t>rezultat</w:t>
            </w:r>
          </w:p>
        </w:tc>
        <w:tc>
          <w:tcPr>
            <w:tcW w:w="1417" w:type="dxa"/>
            <w:tcBorders>
              <w:top w:val="single" w:sz="4" w:space="0" w:color="33CC33"/>
            </w:tcBorders>
            <w:vAlign w:val="center"/>
          </w:tcPr>
          <w:p w14:paraId="7188E149" w14:textId="77777777" w:rsidR="0021480F" w:rsidRPr="00625664" w:rsidRDefault="0021480F" w:rsidP="00EB00A4">
            <w:pPr>
              <w:spacing w:before="60" w:after="60"/>
              <w:rPr>
                <w:rFonts w:cstheme="minorHAnsi"/>
                <w:sz w:val="20"/>
                <w:szCs w:val="20"/>
              </w:rPr>
            </w:pPr>
            <w:r w:rsidRPr="00625664">
              <w:rPr>
                <w:rFonts w:cstheme="minorHAnsi"/>
                <w:sz w:val="20"/>
                <w:szCs w:val="20"/>
              </w:rPr>
              <w:t>kluczowy</w:t>
            </w:r>
          </w:p>
        </w:tc>
        <w:tc>
          <w:tcPr>
            <w:tcW w:w="1276" w:type="dxa"/>
            <w:tcBorders>
              <w:top w:val="single" w:sz="4" w:space="0" w:color="33CC33"/>
            </w:tcBorders>
            <w:vAlign w:val="center"/>
          </w:tcPr>
          <w:p w14:paraId="2B37A46F"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programowy</w:t>
            </w:r>
          </w:p>
          <w:p w14:paraId="10ABF3FE" w14:textId="77777777" w:rsidR="0021480F" w:rsidRPr="00625664" w:rsidRDefault="0021480F" w:rsidP="00EB00A4">
            <w:pPr>
              <w:spacing w:before="60" w:after="60"/>
              <w:rPr>
                <w:rFonts w:cstheme="minorHAnsi"/>
                <w:sz w:val="20"/>
                <w:szCs w:val="20"/>
              </w:rPr>
            </w:pPr>
          </w:p>
          <w:p w14:paraId="2FBC1D8F"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agregujący</w:t>
            </w:r>
          </w:p>
        </w:tc>
        <w:tc>
          <w:tcPr>
            <w:tcW w:w="5670" w:type="dxa"/>
            <w:tcBorders>
              <w:top w:val="single" w:sz="4" w:space="0" w:color="33CC33"/>
            </w:tcBorders>
          </w:tcPr>
          <w:p w14:paraId="5EC6B8F6" w14:textId="77777777" w:rsidR="0021480F" w:rsidRPr="00625664" w:rsidRDefault="0021480F" w:rsidP="00EB00A4">
            <w:pPr>
              <w:spacing w:before="60" w:after="60"/>
              <w:rPr>
                <w:rFonts w:cstheme="minorHAnsi"/>
                <w:sz w:val="20"/>
                <w:szCs w:val="20"/>
              </w:rPr>
            </w:pPr>
            <w:r w:rsidRPr="00625664">
              <w:rPr>
                <w:rFonts w:cstheme="minorHAnsi"/>
                <w:sz w:val="20"/>
                <w:szCs w:val="20"/>
              </w:rPr>
              <w:t>Całkowity wkład prywatny współfinansujący wspierane projekty, w których    wsparcie ma formę dotacji lub pochodzi z instrumentów finansowych. Wskaźnik obejmuje również niekwalifikowalną część kosztów projektu, w tym podatek VAT. W przypadku przedsiębiorstw państwowych wskaźnik obejmuje wkłady na współfinansowanie z ich własnego budżetu. Wskaźnik należy obliczyć na podstawie prywatnego współfinansowania przewidzianego w umowach o dofinansowanie.   W przypadku instrumentów finansowych ma on obejmować zarówno finansowanie prywatne przez pośrednika (zarządzającego funduszem), jak i ostatecznego odbiorcę.</w:t>
            </w:r>
          </w:p>
        </w:tc>
      </w:tr>
      <w:tr w:rsidR="0021480F" w:rsidRPr="004534FE" w14:paraId="68EC5EA4" w14:textId="77777777" w:rsidTr="000D262C">
        <w:trPr>
          <w:trHeight w:val="1683"/>
        </w:trPr>
        <w:tc>
          <w:tcPr>
            <w:tcW w:w="552" w:type="dxa"/>
            <w:vAlign w:val="center"/>
          </w:tcPr>
          <w:p w14:paraId="4552143F" w14:textId="77777777" w:rsidR="0021480F" w:rsidRPr="007F14ED" w:rsidRDefault="0021480F" w:rsidP="00EB00A4">
            <w:pPr>
              <w:spacing w:before="60" w:after="60"/>
              <w:rPr>
                <w:rFonts w:cstheme="minorHAnsi"/>
                <w:sz w:val="20"/>
                <w:szCs w:val="20"/>
              </w:rPr>
            </w:pPr>
            <w:r>
              <w:rPr>
                <w:rFonts w:cstheme="minorHAnsi"/>
                <w:sz w:val="20"/>
                <w:szCs w:val="20"/>
              </w:rPr>
              <w:t>4a</w:t>
            </w:r>
            <w:r w:rsidRPr="007F14ED">
              <w:rPr>
                <w:rFonts w:cstheme="minorHAnsi"/>
                <w:sz w:val="20"/>
                <w:szCs w:val="20"/>
              </w:rPr>
              <w:t>.</w:t>
            </w:r>
          </w:p>
        </w:tc>
        <w:tc>
          <w:tcPr>
            <w:tcW w:w="2977" w:type="dxa"/>
            <w:vAlign w:val="center"/>
          </w:tcPr>
          <w:p w14:paraId="78DF7F10" w14:textId="77777777" w:rsidR="0021480F" w:rsidRPr="00625664" w:rsidRDefault="0021480F" w:rsidP="00EB00A4">
            <w:pPr>
              <w:spacing w:before="60" w:after="60"/>
              <w:rPr>
                <w:rFonts w:cstheme="minorHAnsi"/>
                <w:i/>
                <w:sz w:val="20"/>
                <w:szCs w:val="20"/>
              </w:rPr>
            </w:pPr>
            <w:r w:rsidRPr="00625664">
              <w:rPr>
                <w:rFonts w:cstheme="minorHAnsi"/>
                <w:i/>
                <w:sz w:val="20"/>
                <w:szCs w:val="20"/>
              </w:rPr>
              <w:t>Wartość inwestycji prywatnych uzupełniających wsparcie publiczne - dotacje</w:t>
            </w:r>
          </w:p>
          <w:p w14:paraId="311A8246" w14:textId="77777777" w:rsidR="0021480F" w:rsidRPr="00625664" w:rsidRDefault="0021480F" w:rsidP="00EB00A4">
            <w:pPr>
              <w:spacing w:before="60" w:after="60"/>
              <w:rPr>
                <w:rFonts w:cstheme="minorHAnsi"/>
                <w:i/>
                <w:sz w:val="20"/>
                <w:szCs w:val="20"/>
              </w:rPr>
            </w:pPr>
          </w:p>
        </w:tc>
        <w:tc>
          <w:tcPr>
            <w:tcW w:w="1134" w:type="dxa"/>
            <w:vAlign w:val="center"/>
          </w:tcPr>
          <w:p w14:paraId="61047BD6" w14:textId="77777777" w:rsidR="0021480F" w:rsidRPr="00625664" w:rsidRDefault="0021480F" w:rsidP="00EB00A4">
            <w:pPr>
              <w:spacing w:before="60" w:after="60"/>
              <w:rPr>
                <w:rFonts w:cstheme="minorHAnsi"/>
                <w:sz w:val="20"/>
                <w:szCs w:val="20"/>
              </w:rPr>
            </w:pPr>
            <w:r w:rsidRPr="00625664">
              <w:rPr>
                <w:rFonts w:cstheme="minorHAnsi"/>
                <w:sz w:val="20"/>
                <w:szCs w:val="20"/>
              </w:rPr>
              <w:t>PLN</w:t>
            </w:r>
          </w:p>
        </w:tc>
        <w:tc>
          <w:tcPr>
            <w:tcW w:w="1418" w:type="dxa"/>
            <w:vAlign w:val="center"/>
          </w:tcPr>
          <w:p w14:paraId="040FBABB" w14:textId="77777777" w:rsidR="0021480F" w:rsidRPr="00625664" w:rsidRDefault="0021480F" w:rsidP="00EB00A4">
            <w:pPr>
              <w:spacing w:before="60" w:after="60"/>
              <w:rPr>
                <w:rFonts w:cstheme="minorHAnsi"/>
                <w:sz w:val="20"/>
                <w:szCs w:val="20"/>
              </w:rPr>
            </w:pPr>
            <w:r w:rsidRPr="00625664">
              <w:rPr>
                <w:rFonts w:cstheme="minorHAnsi"/>
                <w:sz w:val="20"/>
                <w:szCs w:val="20"/>
              </w:rPr>
              <w:t>rezultat</w:t>
            </w:r>
          </w:p>
        </w:tc>
        <w:tc>
          <w:tcPr>
            <w:tcW w:w="1417" w:type="dxa"/>
            <w:vAlign w:val="center"/>
          </w:tcPr>
          <w:p w14:paraId="6A7B4051" w14:textId="77777777"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vAlign w:val="center"/>
          </w:tcPr>
          <w:p w14:paraId="155F5FF6" w14:textId="77777777" w:rsidR="0021480F" w:rsidRPr="00625664" w:rsidRDefault="0021480F" w:rsidP="00EB00A4">
            <w:pPr>
              <w:spacing w:before="60" w:after="60"/>
              <w:rPr>
                <w:rFonts w:cstheme="minorHAnsi"/>
                <w:sz w:val="20"/>
                <w:szCs w:val="20"/>
              </w:rPr>
            </w:pPr>
            <w:r w:rsidRPr="00625664">
              <w:rPr>
                <w:rFonts w:cstheme="minorHAnsi"/>
                <w:sz w:val="20"/>
                <w:szCs w:val="20"/>
              </w:rPr>
              <w:t>-</w:t>
            </w:r>
          </w:p>
        </w:tc>
        <w:tc>
          <w:tcPr>
            <w:tcW w:w="5670" w:type="dxa"/>
          </w:tcPr>
          <w:p w14:paraId="06F10F80"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mierzy całkowity wkład prywatny współfinansujący wspierane projekty, w przypadku których formą wsparcia jest dotacja.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tc>
      </w:tr>
      <w:tr w:rsidR="0021480F" w:rsidRPr="004534FE" w14:paraId="59F84C13" w14:textId="77777777" w:rsidTr="000D262C">
        <w:tc>
          <w:tcPr>
            <w:tcW w:w="552" w:type="dxa"/>
            <w:vAlign w:val="center"/>
          </w:tcPr>
          <w:p w14:paraId="4EF79BCF" w14:textId="77777777" w:rsidR="0021480F" w:rsidRPr="007F14ED" w:rsidRDefault="0021480F" w:rsidP="00EB00A4">
            <w:pPr>
              <w:spacing w:before="60" w:after="60"/>
              <w:rPr>
                <w:rFonts w:cstheme="minorHAnsi"/>
                <w:sz w:val="20"/>
                <w:szCs w:val="20"/>
              </w:rPr>
            </w:pPr>
            <w:r>
              <w:rPr>
                <w:rFonts w:cstheme="minorHAnsi"/>
                <w:sz w:val="20"/>
                <w:szCs w:val="20"/>
              </w:rPr>
              <w:t>5</w:t>
            </w:r>
            <w:r w:rsidRPr="007F14ED">
              <w:rPr>
                <w:rFonts w:cstheme="minorHAnsi"/>
                <w:sz w:val="20"/>
                <w:szCs w:val="20"/>
              </w:rPr>
              <w:t>.</w:t>
            </w:r>
          </w:p>
        </w:tc>
        <w:tc>
          <w:tcPr>
            <w:tcW w:w="2977" w:type="dxa"/>
            <w:vAlign w:val="center"/>
          </w:tcPr>
          <w:p w14:paraId="0C213310" w14:textId="4B3CC8A9" w:rsidR="0021480F" w:rsidRPr="00625664" w:rsidRDefault="0021480F" w:rsidP="00EB00A4">
            <w:pPr>
              <w:spacing w:before="60" w:after="60"/>
              <w:rPr>
                <w:rFonts w:cstheme="minorHAnsi"/>
                <w:i/>
                <w:sz w:val="20"/>
                <w:szCs w:val="20"/>
              </w:rPr>
            </w:pPr>
            <w:r w:rsidRPr="00625664">
              <w:rPr>
                <w:rFonts w:cstheme="minorHAnsi"/>
                <w:i/>
                <w:sz w:val="20"/>
                <w:szCs w:val="20"/>
              </w:rPr>
              <w:t>Małe i średnie przedsiębiorstwa (MŚP) wprowadzające innowacje produktowe lub procesowe</w:t>
            </w:r>
          </w:p>
          <w:p w14:paraId="70B09EA3" w14:textId="77777777" w:rsidR="0021480F" w:rsidRPr="00625664" w:rsidRDefault="0021480F" w:rsidP="00EB00A4">
            <w:pPr>
              <w:spacing w:before="60" w:after="60"/>
              <w:rPr>
                <w:rFonts w:cstheme="minorHAnsi"/>
                <w:i/>
                <w:sz w:val="20"/>
                <w:szCs w:val="20"/>
              </w:rPr>
            </w:pPr>
          </w:p>
        </w:tc>
        <w:tc>
          <w:tcPr>
            <w:tcW w:w="1134" w:type="dxa"/>
            <w:vAlign w:val="center"/>
          </w:tcPr>
          <w:p w14:paraId="42C2CB66"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vAlign w:val="center"/>
          </w:tcPr>
          <w:p w14:paraId="4601EF61" w14:textId="77777777" w:rsidR="0021480F" w:rsidRPr="00625664" w:rsidRDefault="0021480F" w:rsidP="00EB00A4">
            <w:pPr>
              <w:spacing w:before="60" w:after="60"/>
              <w:rPr>
                <w:rFonts w:cstheme="minorHAnsi"/>
                <w:sz w:val="20"/>
                <w:szCs w:val="20"/>
              </w:rPr>
            </w:pPr>
            <w:r w:rsidRPr="00625664">
              <w:rPr>
                <w:rFonts w:cstheme="minorHAnsi"/>
                <w:sz w:val="20"/>
                <w:szCs w:val="20"/>
              </w:rPr>
              <w:t>rezultat</w:t>
            </w:r>
          </w:p>
        </w:tc>
        <w:tc>
          <w:tcPr>
            <w:tcW w:w="1417" w:type="dxa"/>
            <w:vAlign w:val="center"/>
          </w:tcPr>
          <w:p w14:paraId="53494895" w14:textId="75EAC8DE"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vAlign w:val="center"/>
          </w:tcPr>
          <w:p w14:paraId="3D726EFF" w14:textId="77777777" w:rsidR="0021480F" w:rsidRPr="00625664" w:rsidRDefault="0021480F" w:rsidP="00EB00A4">
            <w:pPr>
              <w:spacing w:before="60" w:after="60"/>
              <w:rPr>
                <w:rFonts w:cstheme="minorHAnsi"/>
                <w:sz w:val="20"/>
                <w:szCs w:val="20"/>
              </w:rPr>
            </w:pPr>
            <w:r w:rsidRPr="00625664">
              <w:rPr>
                <w:rFonts w:cstheme="minorHAnsi"/>
                <w:sz w:val="20"/>
                <w:szCs w:val="20"/>
              </w:rPr>
              <w:t>Wskaźnik agregujący</w:t>
            </w:r>
          </w:p>
        </w:tc>
        <w:tc>
          <w:tcPr>
            <w:tcW w:w="5670" w:type="dxa"/>
          </w:tcPr>
          <w:p w14:paraId="6A18F192" w14:textId="4B28E5CF" w:rsidR="0021480F" w:rsidRPr="00625664" w:rsidRDefault="0021480F" w:rsidP="00EB00A4">
            <w:pPr>
              <w:spacing w:before="60" w:after="60"/>
              <w:rPr>
                <w:rFonts w:cstheme="minorHAnsi"/>
                <w:color w:val="C00000"/>
                <w:sz w:val="20"/>
                <w:szCs w:val="20"/>
              </w:rPr>
            </w:pPr>
            <w:r w:rsidRPr="00625664">
              <w:rPr>
                <w:rFonts w:cstheme="minorHAnsi"/>
                <w:bCs/>
                <w:color w:val="000000"/>
                <w:sz w:val="20"/>
                <w:szCs w:val="20"/>
              </w:rPr>
              <w:t xml:space="preserve">Liczba MŚP wprowadzających innowacje produktowe lub procesowe dzięki udzielonemu wsparciu. Wskaźnik obejmuje również mikroprzedsiębiorstwa. Innowacja produktowa to wprowadzenie na rynek towarów lub usług, które są nowe lub istotnie ulepszone pod względem ich możliwości, łatwości obsługi, elementów lub podsystemów. Innowacja procesowa to wdrożenie nowego lub znacząco ulepszonego procesu produkcyjnego, sposobu dystrybucji lub działalności wspierającej.   Innowacje produktowe lub procesowe muszą być nowością dla wspieranego przedsiębiorstwa, ale nie muszą być nowością na rynku. Innowacje mogą być pierwotnie opracowane przez wspierane przedsiębiorstwa lub przez inne przedsiębiorstwa lub organizacje. </w:t>
            </w:r>
            <w:r w:rsidRPr="00625664">
              <w:rPr>
                <w:rFonts w:cstheme="minorHAnsi"/>
                <w:color w:val="000000"/>
                <w:sz w:val="20"/>
                <w:szCs w:val="20"/>
              </w:rPr>
              <w:t xml:space="preserve">Definicja przedsiębiorstwa znajduje się we wskaźniku </w:t>
            </w:r>
            <w:r w:rsidRPr="00625664">
              <w:rPr>
                <w:rFonts w:cstheme="minorHAnsi"/>
                <w:i/>
                <w:color w:val="000000"/>
                <w:sz w:val="20"/>
                <w:szCs w:val="20"/>
              </w:rPr>
              <w:t xml:space="preserve">Przedsiębiorstwa objęte wsparciem (w tym: mikro, małe, średnie, </w:t>
            </w:r>
            <w:proofErr w:type="spellStart"/>
            <w:r w:rsidRPr="00625664">
              <w:rPr>
                <w:rFonts w:cstheme="minorHAnsi"/>
                <w:i/>
                <w:color w:val="000000"/>
                <w:sz w:val="20"/>
                <w:szCs w:val="20"/>
              </w:rPr>
              <w:t>duże</w:t>
            </w:r>
            <w:proofErr w:type="spellEnd"/>
            <w:r w:rsidRPr="00625664">
              <w:rPr>
                <w:rFonts w:cstheme="minorHAnsi"/>
                <w:i/>
                <w:color w:val="000000"/>
                <w:sz w:val="20"/>
                <w:szCs w:val="20"/>
              </w:rPr>
              <w:t>)</w:t>
            </w:r>
            <w:r w:rsidRPr="00625664">
              <w:rPr>
                <w:rFonts w:cstheme="minorHAnsi"/>
                <w:color w:val="000000"/>
                <w:sz w:val="20"/>
                <w:szCs w:val="20"/>
              </w:rPr>
              <w:t>.</w:t>
            </w:r>
          </w:p>
        </w:tc>
      </w:tr>
      <w:tr w:rsidR="0021480F" w:rsidRPr="004534FE" w14:paraId="6CEDE963" w14:textId="77777777" w:rsidTr="000D262C">
        <w:trPr>
          <w:trHeight w:val="1050"/>
        </w:trPr>
        <w:tc>
          <w:tcPr>
            <w:tcW w:w="552" w:type="dxa"/>
            <w:tcBorders>
              <w:bottom w:val="single" w:sz="8" w:space="0" w:color="33CC33"/>
            </w:tcBorders>
            <w:vAlign w:val="center"/>
          </w:tcPr>
          <w:p w14:paraId="258B4D2B" w14:textId="77777777" w:rsidR="0021480F" w:rsidRPr="007F14ED" w:rsidRDefault="0021480F" w:rsidP="00EB00A4">
            <w:pPr>
              <w:spacing w:before="60" w:after="60"/>
              <w:rPr>
                <w:rFonts w:cstheme="minorHAnsi"/>
                <w:sz w:val="20"/>
                <w:szCs w:val="20"/>
              </w:rPr>
            </w:pPr>
            <w:r>
              <w:rPr>
                <w:rFonts w:cstheme="minorHAnsi"/>
                <w:sz w:val="20"/>
                <w:szCs w:val="20"/>
              </w:rPr>
              <w:t>5a</w:t>
            </w:r>
            <w:r w:rsidRPr="007F14ED">
              <w:rPr>
                <w:rFonts w:cstheme="minorHAnsi"/>
                <w:sz w:val="20"/>
                <w:szCs w:val="20"/>
              </w:rPr>
              <w:t>.</w:t>
            </w:r>
          </w:p>
        </w:tc>
        <w:tc>
          <w:tcPr>
            <w:tcW w:w="2977" w:type="dxa"/>
            <w:tcBorders>
              <w:bottom w:val="single" w:sz="8" w:space="0" w:color="33CC33"/>
            </w:tcBorders>
            <w:vAlign w:val="center"/>
          </w:tcPr>
          <w:p w14:paraId="6C1C4369" w14:textId="7B050518" w:rsidR="0021480F" w:rsidRPr="00625664" w:rsidRDefault="0021480F" w:rsidP="00EB00A4">
            <w:pPr>
              <w:rPr>
                <w:rFonts w:cstheme="minorHAnsi"/>
                <w:i/>
                <w:sz w:val="20"/>
                <w:szCs w:val="20"/>
              </w:rPr>
            </w:pPr>
            <w:r w:rsidRPr="00625664">
              <w:rPr>
                <w:rFonts w:cstheme="minorHAnsi"/>
                <w:i/>
                <w:color w:val="000000"/>
                <w:sz w:val="20"/>
                <w:szCs w:val="20"/>
              </w:rPr>
              <w:t>Małe i średnie przedsiębiorstwa (MŚP) wprowadzające innowacje produktowe</w:t>
            </w:r>
          </w:p>
        </w:tc>
        <w:tc>
          <w:tcPr>
            <w:tcW w:w="1134" w:type="dxa"/>
            <w:tcBorders>
              <w:bottom w:val="single" w:sz="8" w:space="0" w:color="33CC33"/>
            </w:tcBorders>
            <w:vAlign w:val="center"/>
          </w:tcPr>
          <w:p w14:paraId="1352F65A"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bottom w:val="single" w:sz="8" w:space="0" w:color="33CC33"/>
            </w:tcBorders>
            <w:vAlign w:val="center"/>
          </w:tcPr>
          <w:p w14:paraId="70C1A10D" w14:textId="77777777" w:rsidR="0021480F" w:rsidRPr="00625664" w:rsidRDefault="0021480F" w:rsidP="00EB00A4">
            <w:pPr>
              <w:spacing w:before="60" w:after="60"/>
              <w:rPr>
                <w:rFonts w:cstheme="minorHAnsi"/>
                <w:sz w:val="20"/>
                <w:szCs w:val="20"/>
              </w:rPr>
            </w:pPr>
            <w:r w:rsidRPr="00625664">
              <w:rPr>
                <w:rFonts w:cstheme="minorHAnsi"/>
                <w:sz w:val="20"/>
                <w:szCs w:val="20"/>
              </w:rPr>
              <w:t>rezultat</w:t>
            </w:r>
          </w:p>
        </w:tc>
        <w:tc>
          <w:tcPr>
            <w:tcW w:w="1417" w:type="dxa"/>
            <w:tcBorders>
              <w:bottom w:val="single" w:sz="8" w:space="0" w:color="33CC33"/>
            </w:tcBorders>
            <w:vAlign w:val="center"/>
          </w:tcPr>
          <w:p w14:paraId="4F4C5F11" w14:textId="77777777" w:rsidR="0021480F" w:rsidRPr="00625664" w:rsidRDefault="0021480F" w:rsidP="00EB00A4">
            <w:pPr>
              <w:spacing w:before="60" w:after="60"/>
              <w:rPr>
                <w:rFonts w:cstheme="minorHAnsi"/>
                <w:sz w:val="20"/>
                <w:szCs w:val="20"/>
              </w:rPr>
            </w:pPr>
            <w:r>
              <w:rPr>
                <w:rFonts w:cstheme="minorHAnsi"/>
                <w:sz w:val="20"/>
                <w:szCs w:val="20"/>
              </w:rPr>
              <w:t>kluczowy</w:t>
            </w:r>
          </w:p>
        </w:tc>
        <w:tc>
          <w:tcPr>
            <w:tcW w:w="1276" w:type="dxa"/>
            <w:tcBorders>
              <w:bottom w:val="single" w:sz="8" w:space="0" w:color="33CC33"/>
            </w:tcBorders>
            <w:vAlign w:val="center"/>
          </w:tcPr>
          <w:p w14:paraId="3FE7E605" w14:textId="77777777" w:rsidR="0021480F" w:rsidRPr="00625664" w:rsidRDefault="0021480F" w:rsidP="00EB00A4">
            <w:pPr>
              <w:spacing w:before="60" w:after="60"/>
              <w:rPr>
                <w:rFonts w:cstheme="minorHAnsi"/>
                <w:sz w:val="20"/>
                <w:szCs w:val="20"/>
              </w:rPr>
            </w:pPr>
            <w:r w:rsidRPr="00625664">
              <w:rPr>
                <w:rFonts w:cstheme="minorHAnsi"/>
                <w:sz w:val="20"/>
                <w:szCs w:val="20"/>
              </w:rPr>
              <w:t>-</w:t>
            </w:r>
          </w:p>
        </w:tc>
        <w:tc>
          <w:tcPr>
            <w:tcW w:w="5670" w:type="dxa"/>
            <w:tcBorders>
              <w:bottom w:val="single" w:sz="8" w:space="0" w:color="33CC33"/>
            </w:tcBorders>
          </w:tcPr>
          <w:p w14:paraId="3E70154C" w14:textId="77777777" w:rsidR="0021480F" w:rsidRPr="00625664" w:rsidRDefault="0021480F" w:rsidP="00EB00A4">
            <w:pPr>
              <w:spacing w:before="60" w:after="60"/>
              <w:rPr>
                <w:rFonts w:cstheme="minorHAnsi"/>
                <w:sz w:val="20"/>
                <w:szCs w:val="20"/>
              </w:rPr>
            </w:pPr>
            <w:r w:rsidRPr="00625664">
              <w:rPr>
                <w:rFonts w:cstheme="minorHAnsi"/>
                <w:color w:val="000000"/>
                <w:sz w:val="20"/>
                <w:szCs w:val="20"/>
              </w:rPr>
              <w:t xml:space="preserve">Liczba przedsiębiorstw MŚP wprowadzających innowacje produktowe w przedsiębiorstwie w wyniku realizacji projektu. Innowacja produktowa to produkt lub usługa, które są nowe lub znacząco ulepszone w zakresie swoich cech lub zastosowań (np. specyfikacja techniczna, komponenty, materiały, </w:t>
            </w:r>
            <w:proofErr w:type="spellStart"/>
            <w:r w:rsidRPr="00625664">
              <w:rPr>
                <w:rFonts w:cstheme="minorHAnsi"/>
                <w:color w:val="000000"/>
                <w:sz w:val="20"/>
                <w:szCs w:val="20"/>
              </w:rPr>
              <w:t>twałość</w:t>
            </w:r>
            <w:proofErr w:type="spellEnd"/>
            <w:r w:rsidRPr="00625664">
              <w:rPr>
                <w:rFonts w:cstheme="minorHAnsi"/>
                <w:color w:val="000000"/>
                <w:sz w:val="20"/>
                <w:szCs w:val="20"/>
              </w:rPr>
              <w:t xml:space="preserve"> lub inne cechy funkcjonalne).</w:t>
            </w:r>
          </w:p>
        </w:tc>
      </w:tr>
      <w:tr w:rsidR="0021480F" w:rsidRPr="004534FE" w14:paraId="1A49BB8D" w14:textId="77777777" w:rsidTr="000D262C">
        <w:trPr>
          <w:trHeight w:val="63"/>
        </w:trPr>
        <w:tc>
          <w:tcPr>
            <w:tcW w:w="552" w:type="dxa"/>
            <w:tcBorders>
              <w:top w:val="single" w:sz="8" w:space="0" w:color="33CC33"/>
              <w:bottom w:val="single" w:sz="8" w:space="0" w:color="33CC33"/>
            </w:tcBorders>
            <w:vAlign w:val="center"/>
          </w:tcPr>
          <w:p w14:paraId="7E1F6090" w14:textId="77777777" w:rsidR="0021480F" w:rsidRPr="007F14ED" w:rsidRDefault="0021480F" w:rsidP="00EB00A4">
            <w:pPr>
              <w:spacing w:before="60" w:after="60"/>
              <w:rPr>
                <w:rFonts w:cstheme="minorHAnsi"/>
                <w:sz w:val="20"/>
                <w:szCs w:val="20"/>
              </w:rPr>
            </w:pPr>
            <w:r>
              <w:rPr>
                <w:rFonts w:cstheme="minorHAnsi"/>
                <w:sz w:val="20"/>
                <w:szCs w:val="20"/>
              </w:rPr>
              <w:t>5b</w:t>
            </w:r>
            <w:r w:rsidRPr="007F14ED">
              <w:rPr>
                <w:rFonts w:cstheme="minorHAnsi"/>
                <w:sz w:val="20"/>
                <w:szCs w:val="20"/>
              </w:rPr>
              <w:t>.</w:t>
            </w:r>
          </w:p>
        </w:tc>
        <w:tc>
          <w:tcPr>
            <w:tcW w:w="2977" w:type="dxa"/>
            <w:tcBorders>
              <w:top w:val="single" w:sz="8" w:space="0" w:color="33CC33"/>
              <w:bottom w:val="single" w:sz="8" w:space="0" w:color="33CC33"/>
            </w:tcBorders>
            <w:vAlign w:val="center"/>
          </w:tcPr>
          <w:p w14:paraId="14C88035" w14:textId="77777777" w:rsidR="0021480F" w:rsidRPr="00625664" w:rsidRDefault="0021480F" w:rsidP="00EB00A4">
            <w:pPr>
              <w:autoSpaceDE w:val="0"/>
              <w:autoSpaceDN w:val="0"/>
              <w:adjustRightInd w:val="0"/>
              <w:rPr>
                <w:rFonts w:cstheme="minorHAnsi"/>
                <w:i/>
                <w:sz w:val="20"/>
                <w:szCs w:val="20"/>
              </w:rPr>
            </w:pPr>
            <w:r w:rsidRPr="00625664">
              <w:rPr>
                <w:rFonts w:cstheme="minorHAnsi"/>
                <w:i/>
                <w:color w:val="000000"/>
                <w:sz w:val="20"/>
                <w:szCs w:val="20"/>
              </w:rPr>
              <w:t>Małe i średnie przedsiębiorstwa (MŚP) wprowadzające innowacje procesowe</w:t>
            </w:r>
          </w:p>
        </w:tc>
        <w:tc>
          <w:tcPr>
            <w:tcW w:w="1134" w:type="dxa"/>
            <w:tcBorders>
              <w:top w:val="single" w:sz="8" w:space="0" w:color="33CC33"/>
              <w:bottom w:val="single" w:sz="8" w:space="0" w:color="33CC33"/>
            </w:tcBorders>
            <w:vAlign w:val="center"/>
          </w:tcPr>
          <w:p w14:paraId="6AEB2986"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5AA4E354"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02B1EBDB"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7EB1D7F8"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07B733C5" w14:textId="77777777" w:rsidR="0021480F" w:rsidRPr="00625664" w:rsidRDefault="0021480F" w:rsidP="00EB00A4">
            <w:pPr>
              <w:autoSpaceDE w:val="0"/>
              <w:autoSpaceDN w:val="0"/>
              <w:adjustRightInd w:val="0"/>
              <w:spacing w:before="80" w:after="40"/>
              <w:rPr>
                <w:rFonts w:cstheme="minorHAnsi"/>
                <w:sz w:val="20"/>
                <w:szCs w:val="20"/>
              </w:rPr>
            </w:pPr>
            <w:r w:rsidRPr="00625664">
              <w:rPr>
                <w:rFonts w:cstheme="minorHAnsi"/>
                <w:color w:val="000000"/>
                <w:sz w:val="20"/>
                <w:szCs w:val="20"/>
              </w:rPr>
              <w:t>Liczba przedsiębiorstw MŚP wprowadzających innowacje procesowe w przedsiębiorstwie w wyniku realizacji projektu. Innowacja procesowa to wdrożenie nowego lub znacząco ulepszonego procesu produkcyjnego, metody dystrybucji lub działalności wspierającej.</w:t>
            </w:r>
          </w:p>
        </w:tc>
      </w:tr>
      <w:tr w:rsidR="0021480F" w:rsidRPr="004534FE" w14:paraId="28FD8CE5" w14:textId="77777777" w:rsidTr="000D262C">
        <w:trPr>
          <w:trHeight w:val="63"/>
        </w:trPr>
        <w:tc>
          <w:tcPr>
            <w:tcW w:w="552" w:type="dxa"/>
            <w:tcBorders>
              <w:top w:val="single" w:sz="8" w:space="0" w:color="33CC33"/>
              <w:bottom w:val="single" w:sz="8" w:space="0" w:color="33CC33"/>
            </w:tcBorders>
            <w:vAlign w:val="center"/>
          </w:tcPr>
          <w:p w14:paraId="19ACBF6E" w14:textId="77777777" w:rsidR="0021480F" w:rsidRPr="007F14ED" w:rsidRDefault="0021480F" w:rsidP="00EB00A4">
            <w:pPr>
              <w:spacing w:before="60" w:after="60"/>
              <w:rPr>
                <w:rFonts w:cstheme="minorHAnsi"/>
                <w:sz w:val="20"/>
                <w:szCs w:val="20"/>
              </w:rPr>
            </w:pPr>
            <w:r>
              <w:rPr>
                <w:rFonts w:cstheme="minorHAnsi"/>
                <w:sz w:val="20"/>
                <w:szCs w:val="20"/>
              </w:rPr>
              <w:t>6</w:t>
            </w:r>
            <w:r w:rsidRPr="007F14ED">
              <w:rPr>
                <w:rFonts w:cstheme="minorHAnsi"/>
                <w:sz w:val="20"/>
                <w:szCs w:val="20"/>
              </w:rPr>
              <w:t>.</w:t>
            </w:r>
          </w:p>
        </w:tc>
        <w:tc>
          <w:tcPr>
            <w:tcW w:w="2977" w:type="dxa"/>
            <w:tcBorders>
              <w:top w:val="single" w:sz="8" w:space="0" w:color="33CC33"/>
              <w:bottom w:val="single" w:sz="8" w:space="0" w:color="33CC33"/>
            </w:tcBorders>
            <w:vAlign w:val="center"/>
          </w:tcPr>
          <w:p w14:paraId="1338A313" w14:textId="77777777" w:rsidR="0021480F" w:rsidRPr="00625664" w:rsidRDefault="0021480F" w:rsidP="00EB00A4">
            <w:pPr>
              <w:rPr>
                <w:rFonts w:cstheme="minorHAnsi"/>
                <w:bCs/>
                <w:i/>
                <w:color w:val="000000" w:themeColor="text1"/>
                <w:sz w:val="20"/>
                <w:szCs w:val="20"/>
              </w:rPr>
            </w:pPr>
            <w:r w:rsidRPr="00625664">
              <w:rPr>
                <w:rFonts w:cstheme="minorHAnsi"/>
                <w:bCs/>
                <w:i/>
                <w:color w:val="000000" w:themeColor="text1"/>
                <w:sz w:val="20"/>
                <w:szCs w:val="20"/>
              </w:rPr>
              <w:t>MŚP wprowadzające innowacje marketingowe lub organizacyjne</w:t>
            </w:r>
          </w:p>
          <w:p w14:paraId="7ED4C7A5" w14:textId="77777777" w:rsidR="0021480F" w:rsidRPr="00625664" w:rsidRDefault="0021480F" w:rsidP="00EB00A4">
            <w:pPr>
              <w:autoSpaceDE w:val="0"/>
              <w:autoSpaceDN w:val="0"/>
              <w:adjustRightInd w:val="0"/>
              <w:rPr>
                <w:rFonts w:cstheme="minorHAnsi"/>
                <w:i/>
                <w:color w:val="000000"/>
                <w:sz w:val="20"/>
                <w:szCs w:val="20"/>
              </w:rPr>
            </w:pPr>
          </w:p>
        </w:tc>
        <w:tc>
          <w:tcPr>
            <w:tcW w:w="1134" w:type="dxa"/>
            <w:tcBorders>
              <w:top w:val="single" w:sz="8" w:space="0" w:color="33CC33"/>
              <w:bottom w:val="single" w:sz="8" w:space="0" w:color="33CC33"/>
            </w:tcBorders>
            <w:vAlign w:val="center"/>
          </w:tcPr>
          <w:p w14:paraId="43FC0A8A" w14:textId="77777777" w:rsidR="0021480F" w:rsidRPr="00625664" w:rsidRDefault="0021480F" w:rsidP="00EB00A4">
            <w:pPr>
              <w:spacing w:before="60" w:after="60"/>
              <w:rPr>
                <w:rFonts w:cstheme="minorHAnsi"/>
                <w:sz w:val="20"/>
                <w:szCs w:val="20"/>
              </w:rPr>
            </w:pPr>
            <w:r w:rsidRPr="00625664">
              <w:rPr>
                <w:rFonts w:cstheme="minorHAnsi"/>
                <w:color w:val="000000" w:themeColor="text1"/>
                <w:sz w:val="20"/>
                <w:szCs w:val="20"/>
              </w:rPr>
              <w:t>szt.</w:t>
            </w:r>
          </w:p>
        </w:tc>
        <w:tc>
          <w:tcPr>
            <w:tcW w:w="1418" w:type="dxa"/>
            <w:tcBorders>
              <w:top w:val="single" w:sz="8" w:space="0" w:color="33CC33"/>
              <w:bottom w:val="single" w:sz="8" w:space="0" w:color="33CC33"/>
            </w:tcBorders>
            <w:vAlign w:val="center"/>
          </w:tcPr>
          <w:p w14:paraId="372D24E1" w14:textId="77777777" w:rsidR="0021480F" w:rsidRPr="00625664" w:rsidRDefault="0021480F" w:rsidP="00EB00A4">
            <w:pPr>
              <w:spacing w:before="80" w:after="80"/>
              <w:rPr>
                <w:rFonts w:cstheme="minorHAnsi"/>
                <w:sz w:val="20"/>
                <w:szCs w:val="20"/>
              </w:rPr>
            </w:pPr>
            <w:r w:rsidRPr="00625664">
              <w:rPr>
                <w:rFonts w:cstheme="minorHAnsi"/>
                <w:color w:val="000000" w:themeColor="text1"/>
                <w:sz w:val="20"/>
                <w:szCs w:val="20"/>
              </w:rPr>
              <w:t>rezultat</w:t>
            </w:r>
          </w:p>
        </w:tc>
        <w:tc>
          <w:tcPr>
            <w:tcW w:w="1417" w:type="dxa"/>
            <w:tcBorders>
              <w:top w:val="single" w:sz="8" w:space="0" w:color="33CC33"/>
              <w:bottom w:val="single" w:sz="8" w:space="0" w:color="33CC33"/>
            </w:tcBorders>
            <w:vAlign w:val="center"/>
          </w:tcPr>
          <w:p w14:paraId="59EC8FEC"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635A35D0" w14:textId="77777777" w:rsidR="0021480F" w:rsidRPr="00625664" w:rsidRDefault="0021480F" w:rsidP="00EB00A4">
            <w:pPr>
              <w:spacing w:before="80" w:after="80"/>
              <w:rPr>
                <w:rFonts w:cstheme="minorHAnsi"/>
                <w:sz w:val="20"/>
                <w:szCs w:val="20"/>
              </w:rPr>
            </w:pPr>
            <w:r w:rsidRPr="00625664">
              <w:rPr>
                <w:rFonts w:cstheme="minorHAnsi"/>
                <w:sz w:val="20"/>
                <w:szCs w:val="20"/>
              </w:rPr>
              <w:t>Wskaźnik agregujący</w:t>
            </w:r>
          </w:p>
        </w:tc>
        <w:tc>
          <w:tcPr>
            <w:tcW w:w="5670" w:type="dxa"/>
            <w:tcBorders>
              <w:top w:val="single" w:sz="8" w:space="0" w:color="33CC33"/>
              <w:bottom w:val="single" w:sz="8" w:space="0" w:color="33CC33"/>
            </w:tcBorders>
          </w:tcPr>
          <w:p w14:paraId="16CF47AE" w14:textId="0AA17431"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bCs/>
                <w:color w:val="000000" w:themeColor="text1"/>
                <w:sz w:val="20"/>
                <w:szCs w:val="20"/>
              </w:rPr>
              <w:t xml:space="preserve">Liczba MŚP wprowadzających innowacje marketingowe lub organizacyjne dzięki udzielonemu wsparciu. Wskaźnik obejmuje również mikroprzedsiębiorstwa. Innowacja marketingowa to wdrożenie nowej koncepcji lub strategii marketingowej, która różni się istotnie od dotychczasowych metod marketingowych przedsiębiorstwa i która nie była wcześniej stosowana. Wymaga ona znaczących zmian w projekcie lub opakowaniu produktu, lokowaniu produktu, promocji produktu lub cenie. Wskaźnik nie obejmuje sezonowych, regularnych lub innych rutynowych zmian w metodach marketingowych.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    </w:t>
            </w:r>
            <w:r w:rsidRPr="00625664">
              <w:rPr>
                <w:rFonts w:cstheme="minorHAnsi"/>
                <w:color w:val="000000" w:themeColor="text1"/>
                <w:sz w:val="20"/>
                <w:szCs w:val="20"/>
              </w:rPr>
              <w:t xml:space="preserve">Definicja przedsiębiorstwa znajduje się we wskaźniku </w:t>
            </w:r>
            <w:r w:rsidRPr="00625664">
              <w:rPr>
                <w:rFonts w:cstheme="minorHAnsi"/>
                <w:i/>
                <w:color w:val="000000" w:themeColor="text1"/>
                <w:sz w:val="20"/>
                <w:szCs w:val="20"/>
              </w:rPr>
              <w:t xml:space="preserve">Przedsiębiorstwa objęte wsparciem (w tym: mikro, małe, średnie, </w:t>
            </w:r>
            <w:proofErr w:type="spellStart"/>
            <w:r w:rsidRPr="00625664">
              <w:rPr>
                <w:rFonts w:cstheme="minorHAnsi"/>
                <w:i/>
                <w:color w:val="000000" w:themeColor="text1"/>
                <w:sz w:val="20"/>
                <w:szCs w:val="20"/>
              </w:rPr>
              <w:t>duże</w:t>
            </w:r>
            <w:proofErr w:type="spellEnd"/>
            <w:r w:rsidRPr="00625664">
              <w:rPr>
                <w:rFonts w:cstheme="minorHAnsi"/>
                <w:i/>
                <w:color w:val="000000" w:themeColor="text1"/>
                <w:sz w:val="20"/>
                <w:szCs w:val="20"/>
              </w:rPr>
              <w:t>)</w:t>
            </w:r>
            <w:r w:rsidRPr="00625664">
              <w:rPr>
                <w:rFonts w:cstheme="minorHAnsi"/>
                <w:color w:val="000000" w:themeColor="text1"/>
                <w:sz w:val="20"/>
                <w:szCs w:val="20"/>
              </w:rPr>
              <w:t>.</w:t>
            </w:r>
          </w:p>
        </w:tc>
      </w:tr>
      <w:tr w:rsidR="0021480F" w:rsidRPr="004534FE" w14:paraId="3E7CD59F" w14:textId="77777777" w:rsidTr="000D262C">
        <w:trPr>
          <w:trHeight w:val="63"/>
        </w:trPr>
        <w:tc>
          <w:tcPr>
            <w:tcW w:w="552" w:type="dxa"/>
            <w:tcBorders>
              <w:top w:val="single" w:sz="8" w:space="0" w:color="33CC33"/>
              <w:bottom w:val="single" w:sz="8" w:space="0" w:color="33CC33"/>
            </w:tcBorders>
            <w:vAlign w:val="center"/>
          </w:tcPr>
          <w:p w14:paraId="2212E6E3" w14:textId="77777777" w:rsidR="0021480F" w:rsidRPr="007F14ED" w:rsidRDefault="0021480F" w:rsidP="00EB00A4">
            <w:pPr>
              <w:spacing w:before="60" w:after="60"/>
              <w:rPr>
                <w:rFonts w:cstheme="minorHAnsi"/>
                <w:sz w:val="20"/>
                <w:szCs w:val="20"/>
              </w:rPr>
            </w:pPr>
            <w:r>
              <w:rPr>
                <w:rFonts w:cstheme="minorHAnsi"/>
                <w:sz w:val="20"/>
                <w:szCs w:val="20"/>
              </w:rPr>
              <w:t>6a</w:t>
            </w:r>
            <w:r w:rsidRPr="007F14ED">
              <w:rPr>
                <w:rFonts w:cstheme="minorHAnsi"/>
                <w:sz w:val="20"/>
                <w:szCs w:val="20"/>
              </w:rPr>
              <w:t>.</w:t>
            </w:r>
          </w:p>
        </w:tc>
        <w:tc>
          <w:tcPr>
            <w:tcW w:w="2977" w:type="dxa"/>
            <w:tcBorders>
              <w:top w:val="single" w:sz="8" w:space="0" w:color="33CC33"/>
              <w:bottom w:val="single" w:sz="8" w:space="0" w:color="33CC33"/>
            </w:tcBorders>
            <w:vAlign w:val="center"/>
          </w:tcPr>
          <w:p w14:paraId="4A30670F" w14:textId="6EF322B0" w:rsidR="0021480F" w:rsidRPr="00625664" w:rsidRDefault="0021480F" w:rsidP="00EB00A4">
            <w:pPr>
              <w:rPr>
                <w:rFonts w:cstheme="minorHAnsi"/>
                <w:i/>
                <w:color w:val="000000"/>
                <w:sz w:val="20"/>
                <w:szCs w:val="20"/>
              </w:rPr>
            </w:pPr>
            <w:r w:rsidRPr="00625664">
              <w:rPr>
                <w:rFonts w:cstheme="minorHAnsi"/>
                <w:i/>
                <w:color w:val="000000"/>
                <w:sz w:val="20"/>
                <w:szCs w:val="20"/>
              </w:rPr>
              <w:t>MŚP wprowadzające innowacje marketingowe</w:t>
            </w:r>
          </w:p>
          <w:p w14:paraId="3DEE8710" w14:textId="77777777" w:rsidR="0021480F" w:rsidRPr="00625664" w:rsidRDefault="0021480F" w:rsidP="00EB00A4">
            <w:pPr>
              <w:autoSpaceDE w:val="0"/>
              <w:autoSpaceDN w:val="0"/>
              <w:adjustRightInd w:val="0"/>
              <w:rPr>
                <w:rFonts w:cstheme="minorHAnsi"/>
                <w:i/>
                <w:color w:val="000000"/>
                <w:sz w:val="20"/>
                <w:szCs w:val="20"/>
              </w:rPr>
            </w:pPr>
          </w:p>
        </w:tc>
        <w:tc>
          <w:tcPr>
            <w:tcW w:w="1134" w:type="dxa"/>
            <w:tcBorders>
              <w:top w:val="single" w:sz="8" w:space="0" w:color="33CC33"/>
              <w:bottom w:val="single" w:sz="8" w:space="0" w:color="33CC33"/>
            </w:tcBorders>
            <w:vAlign w:val="center"/>
          </w:tcPr>
          <w:p w14:paraId="02C037C6"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23285AEF"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5E35388C"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3AC74CC5"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0AD8E95A" w14:textId="77777777"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Liczba MŚP wprowadzających innowacje marketingowe dzięki udzielonemu wsparciu. Wskaźnik obejmuje również mikroprzedsiębiorstwa. Innowacja marketingowa to wdrożenie nowej koncepcji lub strategii marketingowej, która różni się istotnie od dotychczasowych metod marketingowych przedsiębiorstwa i która nie była wcześniej stosowana. Wymaga ona znaczących zmian w projekcie lub opakowaniu produktu, lokowaniu produktu, promocji produktu lub cenie. Wskaźnik nie obejmuje sezonowych, regularnych lub innych rutynowych zmian w metodach marketingowych.</w:t>
            </w:r>
          </w:p>
        </w:tc>
      </w:tr>
      <w:tr w:rsidR="0021480F" w:rsidRPr="004534FE" w14:paraId="142FA817" w14:textId="77777777" w:rsidTr="000D262C">
        <w:trPr>
          <w:trHeight w:val="63"/>
        </w:trPr>
        <w:tc>
          <w:tcPr>
            <w:tcW w:w="552" w:type="dxa"/>
            <w:tcBorders>
              <w:top w:val="single" w:sz="8" w:space="0" w:color="33CC33"/>
              <w:bottom w:val="single" w:sz="8" w:space="0" w:color="33CC33"/>
            </w:tcBorders>
            <w:vAlign w:val="center"/>
          </w:tcPr>
          <w:p w14:paraId="561C09E1" w14:textId="77777777" w:rsidR="0021480F" w:rsidRPr="007F14ED" w:rsidRDefault="0021480F" w:rsidP="00EB00A4">
            <w:pPr>
              <w:spacing w:before="60" w:after="60"/>
              <w:rPr>
                <w:rFonts w:cstheme="minorHAnsi"/>
                <w:sz w:val="20"/>
                <w:szCs w:val="20"/>
              </w:rPr>
            </w:pPr>
            <w:r>
              <w:rPr>
                <w:rFonts w:cstheme="minorHAnsi"/>
                <w:sz w:val="20"/>
                <w:szCs w:val="20"/>
              </w:rPr>
              <w:t>6b</w:t>
            </w:r>
            <w:r w:rsidRPr="007F14ED">
              <w:rPr>
                <w:rFonts w:cstheme="minorHAnsi"/>
                <w:sz w:val="20"/>
                <w:szCs w:val="20"/>
              </w:rPr>
              <w:t>.</w:t>
            </w:r>
          </w:p>
        </w:tc>
        <w:tc>
          <w:tcPr>
            <w:tcW w:w="2977" w:type="dxa"/>
            <w:tcBorders>
              <w:top w:val="single" w:sz="8" w:space="0" w:color="33CC33"/>
              <w:bottom w:val="single" w:sz="8" w:space="0" w:color="33CC33"/>
            </w:tcBorders>
            <w:vAlign w:val="center"/>
          </w:tcPr>
          <w:p w14:paraId="0CB3E3C5" w14:textId="77777777" w:rsidR="0021480F" w:rsidRPr="00625664" w:rsidRDefault="0021480F" w:rsidP="00EB00A4">
            <w:pPr>
              <w:autoSpaceDE w:val="0"/>
              <w:autoSpaceDN w:val="0"/>
              <w:adjustRightInd w:val="0"/>
              <w:rPr>
                <w:rFonts w:cstheme="minorHAnsi"/>
                <w:i/>
                <w:color w:val="000000"/>
                <w:sz w:val="20"/>
                <w:szCs w:val="20"/>
              </w:rPr>
            </w:pPr>
            <w:r w:rsidRPr="00625664">
              <w:rPr>
                <w:rFonts w:cstheme="minorHAnsi"/>
                <w:i/>
                <w:color w:val="000000"/>
                <w:sz w:val="20"/>
                <w:szCs w:val="20"/>
              </w:rPr>
              <w:t>MŚP wprowadzające innowacje organizacyjne</w:t>
            </w:r>
          </w:p>
        </w:tc>
        <w:tc>
          <w:tcPr>
            <w:tcW w:w="1134" w:type="dxa"/>
            <w:tcBorders>
              <w:top w:val="single" w:sz="8" w:space="0" w:color="33CC33"/>
              <w:bottom w:val="single" w:sz="8" w:space="0" w:color="33CC33"/>
            </w:tcBorders>
            <w:vAlign w:val="center"/>
          </w:tcPr>
          <w:p w14:paraId="6C35A6AC"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614817D5"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25C73041" w14:textId="00869E32"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6592FA56"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529AB572" w14:textId="476F9923"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Liczba MŚP wprowadzających innowacje organizacyjne dzięki udzielonemu wsparciu. Wskaźnik obejmuje również mikroprzedsiębiorstwa.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w:t>
            </w:r>
          </w:p>
        </w:tc>
      </w:tr>
      <w:tr w:rsidR="0021480F" w:rsidRPr="004534FE" w14:paraId="15ACE3A0" w14:textId="77777777" w:rsidTr="000D262C">
        <w:trPr>
          <w:trHeight w:val="63"/>
        </w:trPr>
        <w:tc>
          <w:tcPr>
            <w:tcW w:w="552" w:type="dxa"/>
            <w:tcBorders>
              <w:top w:val="single" w:sz="8" w:space="0" w:color="33CC33"/>
              <w:bottom w:val="single" w:sz="8" w:space="0" w:color="33CC33"/>
            </w:tcBorders>
            <w:vAlign w:val="center"/>
          </w:tcPr>
          <w:p w14:paraId="03502D63" w14:textId="77777777" w:rsidR="0021480F" w:rsidRPr="007F14ED" w:rsidRDefault="0021480F" w:rsidP="00EB00A4">
            <w:pPr>
              <w:spacing w:before="60" w:after="60"/>
              <w:rPr>
                <w:rFonts w:cstheme="minorHAnsi"/>
                <w:sz w:val="20"/>
                <w:szCs w:val="20"/>
              </w:rPr>
            </w:pPr>
            <w:r>
              <w:rPr>
                <w:rFonts w:cstheme="minorHAnsi"/>
                <w:sz w:val="20"/>
                <w:szCs w:val="20"/>
              </w:rPr>
              <w:t>7</w:t>
            </w:r>
            <w:r w:rsidRPr="007F14ED">
              <w:rPr>
                <w:rFonts w:cstheme="minorHAnsi"/>
                <w:sz w:val="20"/>
                <w:szCs w:val="20"/>
              </w:rPr>
              <w:t>.</w:t>
            </w:r>
          </w:p>
        </w:tc>
        <w:tc>
          <w:tcPr>
            <w:tcW w:w="2977" w:type="dxa"/>
            <w:tcBorders>
              <w:top w:val="single" w:sz="8" w:space="0" w:color="33CC33"/>
              <w:bottom w:val="single" w:sz="8" w:space="0" w:color="33CC33"/>
            </w:tcBorders>
            <w:vAlign w:val="center"/>
          </w:tcPr>
          <w:p w14:paraId="35E9D6D4" w14:textId="77777777" w:rsidR="0021480F" w:rsidRPr="00625664" w:rsidRDefault="0021480F" w:rsidP="00EB00A4">
            <w:pPr>
              <w:autoSpaceDE w:val="0"/>
              <w:autoSpaceDN w:val="0"/>
              <w:adjustRightInd w:val="0"/>
              <w:rPr>
                <w:rFonts w:cstheme="minorHAnsi"/>
                <w:i/>
                <w:color w:val="000000"/>
                <w:sz w:val="20"/>
                <w:szCs w:val="20"/>
              </w:rPr>
            </w:pPr>
            <w:r w:rsidRPr="00625664">
              <w:rPr>
                <w:rFonts w:cstheme="minorHAnsi"/>
                <w:i/>
                <w:color w:val="000000"/>
                <w:sz w:val="20"/>
                <w:szCs w:val="20"/>
              </w:rPr>
              <w:t>MŚP wprowadzające innowacje wewnątrz przedsiębiorstwa</w:t>
            </w:r>
          </w:p>
        </w:tc>
        <w:tc>
          <w:tcPr>
            <w:tcW w:w="1134" w:type="dxa"/>
            <w:tcBorders>
              <w:top w:val="single" w:sz="8" w:space="0" w:color="33CC33"/>
              <w:bottom w:val="single" w:sz="8" w:space="0" w:color="33CC33"/>
            </w:tcBorders>
            <w:vAlign w:val="center"/>
          </w:tcPr>
          <w:p w14:paraId="66E34EC5"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3951BE8C"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1007D8AE" w14:textId="1F52BDAB"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18103A32"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41953F5E" w14:textId="444301EB"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 xml:space="preserve">Liczba przedsiębiorstw, które wprowadziły innowacje wewnątrz przedsiębiorstwa. Wskaźnik obejmuje również mikroprzedsiębiorstwa. Działania innowacyjne są prowadzone wewnętrznie przez wspierane przedsiębiorstwo, a niezlecane innym przedsiębiorstwom lub innym organizacjom badawczym. Obejmuje to opracowanie oprogramowania, które spełnia te wymagania. Definicja przedsiębiorstwa znajduje się we wskaźniku </w:t>
            </w:r>
            <w:r w:rsidRPr="00625664">
              <w:rPr>
                <w:rFonts w:cstheme="minorHAnsi"/>
                <w:i/>
                <w:color w:val="000000"/>
                <w:sz w:val="20"/>
                <w:szCs w:val="20"/>
              </w:rPr>
              <w:t xml:space="preserve">Przedsiębiorstwa objęte wsparciem (w tym: mikro, małe, średnie, </w:t>
            </w:r>
            <w:proofErr w:type="spellStart"/>
            <w:r w:rsidRPr="00625664">
              <w:rPr>
                <w:rFonts w:cstheme="minorHAnsi"/>
                <w:i/>
                <w:color w:val="000000"/>
                <w:sz w:val="20"/>
                <w:szCs w:val="20"/>
              </w:rPr>
              <w:t>duże</w:t>
            </w:r>
            <w:proofErr w:type="spellEnd"/>
            <w:r w:rsidRPr="00625664">
              <w:rPr>
                <w:rFonts w:cstheme="minorHAnsi"/>
                <w:i/>
                <w:color w:val="000000"/>
                <w:sz w:val="20"/>
                <w:szCs w:val="20"/>
              </w:rPr>
              <w:t>)</w:t>
            </w:r>
            <w:r w:rsidRPr="00625664">
              <w:rPr>
                <w:rFonts w:cstheme="minorHAnsi"/>
                <w:color w:val="000000"/>
                <w:sz w:val="20"/>
                <w:szCs w:val="20"/>
              </w:rPr>
              <w:t>.</w:t>
            </w:r>
          </w:p>
        </w:tc>
      </w:tr>
      <w:tr w:rsidR="0021480F" w:rsidRPr="004534FE" w14:paraId="2DCE6991" w14:textId="77777777" w:rsidTr="000D262C">
        <w:trPr>
          <w:trHeight w:val="63"/>
        </w:trPr>
        <w:tc>
          <w:tcPr>
            <w:tcW w:w="552" w:type="dxa"/>
            <w:tcBorders>
              <w:top w:val="single" w:sz="8" w:space="0" w:color="33CC33"/>
              <w:bottom w:val="single" w:sz="8" w:space="0" w:color="33CC33"/>
            </w:tcBorders>
            <w:vAlign w:val="center"/>
          </w:tcPr>
          <w:p w14:paraId="24A528E0" w14:textId="77777777" w:rsidR="0021480F" w:rsidRPr="007F14ED" w:rsidRDefault="0021480F" w:rsidP="00EB00A4">
            <w:pPr>
              <w:spacing w:before="60" w:after="60"/>
              <w:rPr>
                <w:rFonts w:cstheme="minorHAnsi"/>
                <w:sz w:val="20"/>
                <w:szCs w:val="20"/>
              </w:rPr>
            </w:pPr>
            <w:r>
              <w:rPr>
                <w:rFonts w:cstheme="minorHAnsi"/>
                <w:sz w:val="20"/>
                <w:szCs w:val="20"/>
              </w:rPr>
              <w:t>8</w:t>
            </w:r>
            <w:r w:rsidRPr="007F14ED">
              <w:rPr>
                <w:rFonts w:cstheme="minorHAnsi"/>
                <w:sz w:val="20"/>
                <w:szCs w:val="20"/>
              </w:rPr>
              <w:t>.</w:t>
            </w:r>
          </w:p>
        </w:tc>
        <w:tc>
          <w:tcPr>
            <w:tcW w:w="2977" w:type="dxa"/>
            <w:tcBorders>
              <w:top w:val="single" w:sz="8" w:space="0" w:color="33CC33"/>
              <w:bottom w:val="single" w:sz="8" w:space="0" w:color="33CC33"/>
            </w:tcBorders>
            <w:vAlign w:val="center"/>
          </w:tcPr>
          <w:p w14:paraId="6F1DD23E" w14:textId="77777777" w:rsidR="0021480F" w:rsidRPr="00625664" w:rsidRDefault="0021480F" w:rsidP="00EB00A4">
            <w:pPr>
              <w:rPr>
                <w:rFonts w:cstheme="minorHAnsi"/>
                <w:i/>
                <w:color w:val="000000"/>
                <w:sz w:val="20"/>
                <w:szCs w:val="20"/>
              </w:rPr>
            </w:pPr>
            <w:r w:rsidRPr="00625664">
              <w:rPr>
                <w:rFonts w:cstheme="minorHAnsi"/>
                <w:i/>
                <w:color w:val="000000"/>
                <w:sz w:val="20"/>
                <w:szCs w:val="20"/>
              </w:rPr>
              <w:t>Liczba wprowadzonych innowacji produktowych</w:t>
            </w:r>
          </w:p>
          <w:p w14:paraId="66178F8E" w14:textId="77777777" w:rsidR="0021480F" w:rsidRPr="00625664" w:rsidRDefault="0021480F" w:rsidP="00EB00A4">
            <w:pPr>
              <w:autoSpaceDE w:val="0"/>
              <w:autoSpaceDN w:val="0"/>
              <w:adjustRightInd w:val="0"/>
              <w:rPr>
                <w:rFonts w:cstheme="minorHAnsi"/>
                <w:i/>
                <w:color w:val="000000"/>
                <w:sz w:val="20"/>
                <w:szCs w:val="20"/>
              </w:rPr>
            </w:pPr>
          </w:p>
        </w:tc>
        <w:tc>
          <w:tcPr>
            <w:tcW w:w="1134" w:type="dxa"/>
            <w:tcBorders>
              <w:top w:val="single" w:sz="8" w:space="0" w:color="33CC33"/>
              <w:bottom w:val="single" w:sz="8" w:space="0" w:color="33CC33"/>
            </w:tcBorders>
            <w:vAlign w:val="center"/>
          </w:tcPr>
          <w:p w14:paraId="30EB1E51"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46F6DA33"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071DA907"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17EA247F"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0C86E366" w14:textId="77777777"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 xml:space="preserve">Liczba innowacji produktowych, wprowadzonych w przedsiębiorstwie w wyniku realizacji projektu. Innowacja produktowa to produkt lub usługa, które są nowe lub znacząco ulepszone w zakresie swoich cech lub zastosowań (np. specyfikacja techniczna, komponenty, materiały, </w:t>
            </w:r>
            <w:proofErr w:type="spellStart"/>
            <w:r w:rsidRPr="00625664">
              <w:rPr>
                <w:rFonts w:cstheme="minorHAnsi"/>
                <w:color w:val="000000"/>
                <w:sz w:val="20"/>
                <w:szCs w:val="20"/>
              </w:rPr>
              <w:t>twałość</w:t>
            </w:r>
            <w:proofErr w:type="spellEnd"/>
            <w:r w:rsidRPr="00625664">
              <w:rPr>
                <w:rFonts w:cstheme="minorHAnsi"/>
                <w:color w:val="000000"/>
                <w:sz w:val="20"/>
                <w:szCs w:val="20"/>
              </w:rPr>
              <w:t xml:space="preserve"> lub inne cechy funkcjonalne).</w:t>
            </w:r>
          </w:p>
        </w:tc>
      </w:tr>
      <w:tr w:rsidR="0021480F" w:rsidRPr="004534FE" w14:paraId="642C42DA" w14:textId="77777777" w:rsidTr="000D262C">
        <w:trPr>
          <w:trHeight w:val="63"/>
        </w:trPr>
        <w:tc>
          <w:tcPr>
            <w:tcW w:w="552" w:type="dxa"/>
            <w:tcBorders>
              <w:top w:val="single" w:sz="8" w:space="0" w:color="33CC33"/>
              <w:bottom w:val="single" w:sz="8" w:space="0" w:color="33CC33"/>
            </w:tcBorders>
            <w:vAlign w:val="center"/>
          </w:tcPr>
          <w:p w14:paraId="62B4AB47" w14:textId="77777777" w:rsidR="0021480F" w:rsidRPr="007F14ED" w:rsidRDefault="0021480F" w:rsidP="00EB00A4">
            <w:pPr>
              <w:spacing w:before="60" w:after="60"/>
              <w:rPr>
                <w:rFonts w:cstheme="minorHAnsi"/>
                <w:sz w:val="20"/>
                <w:szCs w:val="20"/>
              </w:rPr>
            </w:pPr>
            <w:r>
              <w:rPr>
                <w:rFonts w:cstheme="minorHAnsi"/>
                <w:sz w:val="20"/>
                <w:szCs w:val="20"/>
              </w:rPr>
              <w:t>9</w:t>
            </w:r>
            <w:r w:rsidRPr="007F14ED">
              <w:rPr>
                <w:rFonts w:cstheme="minorHAnsi"/>
                <w:sz w:val="20"/>
                <w:szCs w:val="20"/>
              </w:rPr>
              <w:t>.</w:t>
            </w:r>
          </w:p>
        </w:tc>
        <w:tc>
          <w:tcPr>
            <w:tcW w:w="2977" w:type="dxa"/>
            <w:tcBorders>
              <w:top w:val="single" w:sz="8" w:space="0" w:color="33CC33"/>
              <w:bottom w:val="single" w:sz="8" w:space="0" w:color="33CC33"/>
            </w:tcBorders>
            <w:vAlign w:val="center"/>
          </w:tcPr>
          <w:p w14:paraId="481BA732" w14:textId="77777777" w:rsidR="0021480F" w:rsidRPr="00625664" w:rsidRDefault="0021480F" w:rsidP="00EB00A4">
            <w:pPr>
              <w:rPr>
                <w:rFonts w:cstheme="minorHAnsi"/>
                <w:i/>
                <w:color w:val="000000"/>
                <w:sz w:val="20"/>
                <w:szCs w:val="20"/>
              </w:rPr>
            </w:pPr>
            <w:r w:rsidRPr="00625664">
              <w:rPr>
                <w:rFonts w:cstheme="minorHAnsi"/>
                <w:i/>
                <w:color w:val="000000"/>
                <w:sz w:val="20"/>
                <w:szCs w:val="20"/>
              </w:rPr>
              <w:t>Liczba wprowadzonych innowacji procesowych</w:t>
            </w:r>
          </w:p>
          <w:p w14:paraId="67EA1249" w14:textId="77777777" w:rsidR="0021480F" w:rsidRPr="00625664" w:rsidRDefault="0021480F" w:rsidP="00EB00A4">
            <w:pPr>
              <w:autoSpaceDE w:val="0"/>
              <w:autoSpaceDN w:val="0"/>
              <w:adjustRightInd w:val="0"/>
              <w:rPr>
                <w:rFonts w:cstheme="minorHAnsi"/>
                <w:color w:val="000000"/>
                <w:sz w:val="20"/>
                <w:szCs w:val="20"/>
              </w:rPr>
            </w:pPr>
          </w:p>
        </w:tc>
        <w:tc>
          <w:tcPr>
            <w:tcW w:w="1134" w:type="dxa"/>
            <w:tcBorders>
              <w:top w:val="single" w:sz="8" w:space="0" w:color="33CC33"/>
              <w:bottom w:val="single" w:sz="8" w:space="0" w:color="33CC33"/>
            </w:tcBorders>
            <w:vAlign w:val="center"/>
          </w:tcPr>
          <w:p w14:paraId="19CC74A8"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53A4075A"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56BAFBFC"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5E61C8CA"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6860C9D8" w14:textId="77777777"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Liczba innowacji procesowych, wprowadzonych w przedsiębiorstwie w wyniku realizacji projektu. Innowacja procesowa to wdrożenie nowego lub znacząco ulepszonego procesu produkcyjnego, metody dystrybucji lub działalności wspierającej.</w:t>
            </w:r>
          </w:p>
        </w:tc>
      </w:tr>
      <w:tr w:rsidR="0021480F" w:rsidRPr="004534FE" w14:paraId="25BA27B2" w14:textId="77777777" w:rsidTr="000D262C">
        <w:trPr>
          <w:trHeight w:val="63"/>
        </w:trPr>
        <w:tc>
          <w:tcPr>
            <w:tcW w:w="552" w:type="dxa"/>
            <w:tcBorders>
              <w:top w:val="single" w:sz="8" w:space="0" w:color="33CC33"/>
              <w:bottom w:val="single" w:sz="8" w:space="0" w:color="33CC33"/>
            </w:tcBorders>
            <w:vAlign w:val="center"/>
          </w:tcPr>
          <w:p w14:paraId="110D87CE" w14:textId="77777777" w:rsidR="0021480F" w:rsidRPr="007F14ED" w:rsidRDefault="0021480F" w:rsidP="00EB00A4">
            <w:pPr>
              <w:spacing w:before="60" w:after="60"/>
              <w:rPr>
                <w:rFonts w:cstheme="minorHAnsi"/>
                <w:sz w:val="20"/>
                <w:szCs w:val="20"/>
              </w:rPr>
            </w:pPr>
            <w:r>
              <w:rPr>
                <w:rFonts w:cstheme="minorHAnsi"/>
                <w:sz w:val="20"/>
                <w:szCs w:val="20"/>
              </w:rPr>
              <w:t>10</w:t>
            </w:r>
            <w:r w:rsidRPr="007F14ED">
              <w:rPr>
                <w:rFonts w:cstheme="minorHAnsi"/>
                <w:sz w:val="20"/>
                <w:szCs w:val="20"/>
              </w:rPr>
              <w:t>.</w:t>
            </w:r>
          </w:p>
        </w:tc>
        <w:tc>
          <w:tcPr>
            <w:tcW w:w="2977" w:type="dxa"/>
            <w:tcBorders>
              <w:top w:val="single" w:sz="8" w:space="0" w:color="33CC33"/>
              <w:bottom w:val="single" w:sz="8" w:space="0" w:color="33CC33"/>
            </w:tcBorders>
          </w:tcPr>
          <w:p w14:paraId="4F1F9ECF" w14:textId="77777777" w:rsidR="0021480F" w:rsidRPr="00625664" w:rsidRDefault="0021480F" w:rsidP="00EB00A4">
            <w:pPr>
              <w:rPr>
                <w:rFonts w:cstheme="minorHAnsi"/>
                <w:i/>
                <w:color w:val="000000"/>
                <w:sz w:val="20"/>
                <w:szCs w:val="20"/>
              </w:rPr>
            </w:pPr>
          </w:p>
          <w:p w14:paraId="0B1C5527" w14:textId="77777777" w:rsidR="0021480F" w:rsidRPr="00625664" w:rsidRDefault="0021480F" w:rsidP="00EB00A4">
            <w:pPr>
              <w:rPr>
                <w:rFonts w:cstheme="minorHAnsi"/>
                <w:i/>
                <w:color w:val="000000"/>
                <w:sz w:val="20"/>
                <w:szCs w:val="20"/>
              </w:rPr>
            </w:pPr>
          </w:p>
          <w:p w14:paraId="58FB6680" w14:textId="77777777" w:rsidR="0021480F" w:rsidRPr="00625664" w:rsidRDefault="0021480F" w:rsidP="00EB00A4">
            <w:pPr>
              <w:rPr>
                <w:rFonts w:cstheme="minorHAnsi"/>
                <w:i/>
                <w:color w:val="000000"/>
                <w:sz w:val="20"/>
                <w:szCs w:val="20"/>
              </w:rPr>
            </w:pPr>
            <w:r w:rsidRPr="00625664">
              <w:rPr>
                <w:rFonts w:cstheme="minorHAnsi"/>
                <w:i/>
                <w:color w:val="000000"/>
                <w:sz w:val="20"/>
                <w:szCs w:val="20"/>
              </w:rPr>
              <w:t>Liczba wprowadzonych innowacji marketingowych</w:t>
            </w:r>
          </w:p>
        </w:tc>
        <w:tc>
          <w:tcPr>
            <w:tcW w:w="1134" w:type="dxa"/>
            <w:tcBorders>
              <w:top w:val="single" w:sz="8" w:space="0" w:color="33CC33"/>
              <w:bottom w:val="single" w:sz="8" w:space="0" w:color="33CC33"/>
            </w:tcBorders>
            <w:vAlign w:val="center"/>
          </w:tcPr>
          <w:p w14:paraId="3F981238"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47FFC064"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39849232"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2DE96826"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6E4D476E" w14:textId="77777777"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Liczba innowacji marketingowych, wprowadzonych w przedsiębiorstwie w wyniku realizacji projektu. Innowacja marketingowa to wdrożenie nowej koncepcji lub strategii marketingowej, która znacznie różni się od istniejących metod marketingowych</w:t>
            </w:r>
          </w:p>
        </w:tc>
      </w:tr>
      <w:tr w:rsidR="0021480F" w:rsidRPr="004534FE" w14:paraId="059195AD" w14:textId="77777777" w:rsidTr="000D262C">
        <w:trPr>
          <w:trHeight w:val="63"/>
        </w:trPr>
        <w:tc>
          <w:tcPr>
            <w:tcW w:w="552" w:type="dxa"/>
            <w:tcBorders>
              <w:top w:val="single" w:sz="8" w:space="0" w:color="33CC33"/>
              <w:bottom w:val="single" w:sz="8" w:space="0" w:color="33CC33"/>
            </w:tcBorders>
            <w:vAlign w:val="center"/>
          </w:tcPr>
          <w:p w14:paraId="71919E52" w14:textId="77777777" w:rsidR="0021480F" w:rsidRPr="007F14ED" w:rsidRDefault="0021480F" w:rsidP="00EB00A4">
            <w:pPr>
              <w:spacing w:before="60" w:after="60"/>
              <w:rPr>
                <w:rFonts w:cstheme="minorHAnsi"/>
                <w:sz w:val="20"/>
                <w:szCs w:val="20"/>
              </w:rPr>
            </w:pPr>
            <w:r>
              <w:rPr>
                <w:rFonts w:cstheme="minorHAnsi"/>
                <w:sz w:val="20"/>
                <w:szCs w:val="20"/>
              </w:rPr>
              <w:t>11</w:t>
            </w:r>
            <w:r w:rsidRPr="007F14ED">
              <w:rPr>
                <w:rFonts w:cstheme="minorHAnsi"/>
                <w:sz w:val="20"/>
                <w:szCs w:val="20"/>
              </w:rPr>
              <w:t>.</w:t>
            </w:r>
          </w:p>
        </w:tc>
        <w:tc>
          <w:tcPr>
            <w:tcW w:w="2977" w:type="dxa"/>
            <w:tcBorders>
              <w:top w:val="single" w:sz="8" w:space="0" w:color="33CC33"/>
              <w:bottom w:val="single" w:sz="8" w:space="0" w:color="33CC33"/>
            </w:tcBorders>
            <w:vAlign w:val="center"/>
          </w:tcPr>
          <w:p w14:paraId="7A7394A4" w14:textId="77777777" w:rsidR="0021480F" w:rsidRPr="00625664" w:rsidRDefault="0021480F" w:rsidP="00EB00A4">
            <w:pPr>
              <w:rPr>
                <w:rFonts w:cstheme="minorHAnsi"/>
                <w:i/>
                <w:color w:val="000000"/>
                <w:sz w:val="20"/>
                <w:szCs w:val="20"/>
              </w:rPr>
            </w:pPr>
            <w:r w:rsidRPr="00625664">
              <w:rPr>
                <w:rFonts w:cstheme="minorHAnsi"/>
                <w:i/>
                <w:color w:val="000000"/>
                <w:sz w:val="20"/>
                <w:szCs w:val="20"/>
              </w:rPr>
              <w:t>Liczba wprowadzonych innowacji organizacyjnych</w:t>
            </w:r>
          </w:p>
          <w:p w14:paraId="3F1A444D" w14:textId="77777777" w:rsidR="0021480F" w:rsidRPr="00625664" w:rsidRDefault="0021480F" w:rsidP="00EB00A4">
            <w:pPr>
              <w:autoSpaceDE w:val="0"/>
              <w:autoSpaceDN w:val="0"/>
              <w:adjustRightInd w:val="0"/>
              <w:rPr>
                <w:rFonts w:cstheme="minorHAnsi"/>
                <w:i/>
                <w:color w:val="000000"/>
                <w:sz w:val="20"/>
                <w:szCs w:val="20"/>
              </w:rPr>
            </w:pPr>
          </w:p>
        </w:tc>
        <w:tc>
          <w:tcPr>
            <w:tcW w:w="1134" w:type="dxa"/>
            <w:tcBorders>
              <w:top w:val="single" w:sz="8" w:space="0" w:color="33CC33"/>
              <w:bottom w:val="single" w:sz="8" w:space="0" w:color="33CC33"/>
            </w:tcBorders>
            <w:vAlign w:val="center"/>
          </w:tcPr>
          <w:p w14:paraId="6DBB0706" w14:textId="77777777" w:rsidR="0021480F" w:rsidRPr="00625664" w:rsidRDefault="0021480F" w:rsidP="00EB00A4">
            <w:pPr>
              <w:spacing w:before="60" w:after="60"/>
              <w:rPr>
                <w:rFonts w:cstheme="minorHAnsi"/>
                <w:sz w:val="20"/>
                <w:szCs w:val="20"/>
              </w:rPr>
            </w:pPr>
            <w:r w:rsidRPr="00625664">
              <w:rPr>
                <w:rFonts w:cstheme="minorHAnsi"/>
                <w:sz w:val="20"/>
                <w:szCs w:val="20"/>
              </w:rPr>
              <w:t>szt.</w:t>
            </w:r>
          </w:p>
        </w:tc>
        <w:tc>
          <w:tcPr>
            <w:tcW w:w="1418" w:type="dxa"/>
            <w:tcBorders>
              <w:top w:val="single" w:sz="8" w:space="0" w:color="33CC33"/>
              <w:bottom w:val="single" w:sz="8" w:space="0" w:color="33CC33"/>
            </w:tcBorders>
            <w:vAlign w:val="center"/>
          </w:tcPr>
          <w:p w14:paraId="3B097534"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74E227D3"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231EC4FD"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6E77D0C9" w14:textId="77777777" w:rsidR="0021480F" w:rsidRPr="00625664" w:rsidRDefault="0021480F" w:rsidP="00EB00A4">
            <w:pPr>
              <w:autoSpaceDE w:val="0"/>
              <w:autoSpaceDN w:val="0"/>
              <w:adjustRightInd w:val="0"/>
              <w:spacing w:before="80" w:after="40"/>
              <w:rPr>
                <w:rFonts w:cstheme="minorHAnsi"/>
                <w:color w:val="000000"/>
                <w:sz w:val="20"/>
                <w:szCs w:val="20"/>
              </w:rPr>
            </w:pPr>
            <w:r w:rsidRPr="00625664">
              <w:rPr>
                <w:rFonts w:cstheme="minorHAnsi"/>
                <w:color w:val="000000"/>
                <w:sz w:val="20"/>
                <w:szCs w:val="20"/>
              </w:rPr>
              <w:t xml:space="preserve">Liczba innowacji organizacyjnych, wprowadzonych w przedsiębiorstwie w wyniku realizacji projektu. Innowacje organizacyjne to nowa metoda organizacyjna w praktykach biznesowych przedsiębiorstwa (w tym w zarządzaniu wiedzą, bussines </w:t>
            </w:r>
            <w:proofErr w:type="spellStart"/>
            <w:r w:rsidRPr="00625664">
              <w:rPr>
                <w:rFonts w:cstheme="minorHAnsi"/>
                <w:color w:val="000000"/>
                <w:sz w:val="20"/>
                <w:szCs w:val="20"/>
              </w:rPr>
              <w:t>inteligence</w:t>
            </w:r>
            <w:proofErr w:type="spellEnd"/>
            <w:r w:rsidRPr="00625664">
              <w:rPr>
                <w:rFonts w:cstheme="minorHAnsi"/>
                <w:color w:val="000000"/>
                <w:sz w:val="20"/>
                <w:szCs w:val="20"/>
              </w:rPr>
              <w:t>, SAAS). Innowacja organizacyjna musi być wynikiem strategicznych decyzji kierownictwa i wdrażana przy wsparciu projektu.</w:t>
            </w:r>
          </w:p>
        </w:tc>
      </w:tr>
      <w:tr w:rsidR="0021480F" w:rsidRPr="004534FE" w14:paraId="47E14E12" w14:textId="77777777" w:rsidTr="000D262C">
        <w:trPr>
          <w:trHeight w:val="63"/>
        </w:trPr>
        <w:tc>
          <w:tcPr>
            <w:tcW w:w="552" w:type="dxa"/>
            <w:tcBorders>
              <w:top w:val="single" w:sz="8" w:space="0" w:color="33CC33"/>
              <w:bottom w:val="single" w:sz="8" w:space="0" w:color="33CC33"/>
            </w:tcBorders>
            <w:vAlign w:val="center"/>
          </w:tcPr>
          <w:p w14:paraId="3D27BBA1" w14:textId="77777777" w:rsidR="0021480F" w:rsidRPr="007F14ED" w:rsidRDefault="0021480F" w:rsidP="00EB00A4">
            <w:pPr>
              <w:spacing w:before="60" w:after="60"/>
              <w:rPr>
                <w:rFonts w:cstheme="minorHAnsi"/>
                <w:sz w:val="20"/>
                <w:szCs w:val="20"/>
              </w:rPr>
            </w:pPr>
            <w:r w:rsidRPr="007F14ED">
              <w:rPr>
                <w:rFonts w:cstheme="minorHAnsi"/>
                <w:sz w:val="20"/>
                <w:szCs w:val="20"/>
              </w:rPr>
              <w:t>1</w:t>
            </w:r>
            <w:r>
              <w:rPr>
                <w:rFonts w:cstheme="minorHAnsi"/>
                <w:sz w:val="20"/>
                <w:szCs w:val="20"/>
              </w:rPr>
              <w:t>2</w:t>
            </w:r>
            <w:r w:rsidRPr="007F14ED">
              <w:rPr>
                <w:rFonts w:cstheme="minorHAnsi"/>
                <w:sz w:val="20"/>
                <w:szCs w:val="20"/>
              </w:rPr>
              <w:t>.</w:t>
            </w:r>
          </w:p>
        </w:tc>
        <w:tc>
          <w:tcPr>
            <w:tcW w:w="2977" w:type="dxa"/>
            <w:tcBorders>
              <w:top w:val="single" w:sz="8" w:space="0" w:color="33CC33"/>
              <w:bottom w:val="single" w:sz="8" w:space="0" w:color="33CC33"/>
            </w:tcBorders>
            <w:vAlign w:val="center"/>
          </w:tcPr>
          <w:p w14:paraId="3855E8A7" w14:textId="59AD6212" w:rsidR="0021480F" w:rsidRPr="00625664" w:rsidRDefault="0021480F" w:rsidP="00EB00A4">
            <w:pPr>
              <w:rPr>
                <w:rFonts w:cstheme="minorHAnsi"/>
                <w:i/>
                <w:color w:val="000000"/>
                <w:sz w:val="20"/>
                <w:szCs w:val="20"/>
              </w:rPr>
            </w:pPr>
            <w:r w:rsidRPr="00625664">
              <w:rPr>
                <w:rFonts w:cstheme="minorHAnsi"/>
                <w:i/>
                <w:color w:val="000000"/>
                <w:sz w:val="20"/>
                <w:szCs w:val="20"/>
              </w:rPr>
              <w:t>Przychody ze sprzedaży nowych lub produktów/usług</w:t>
            </w:r>
          </w:p>
          <w:p w14:paraId="52CB2E5A" w14:textId="77777777" w:rsidR="0021480F" w:rsidRPr="00625664" w:rsidRDefault="0021480F" w:rsidP="00EB00A4">
            <w:pPr>
              <w:autoSpaceDE w:val="0"/>
              <w:autoSpaceDN w:val="0"/>
              <w:adjustRightInd w:val="0"/>
              <w:rPr>
                <w:rFonts w:cstheme="minorHAnsi"/>
                <w:i/>
                <w:color w:val="000000"/>
                <w:sz w:val="20"/>
                <w:szCs w:val="20"/>
              </w:rPr>
            </w:pPr>
            <w:r w:rsidRPr="00625664">
              <w:rPr>
                <w:rFonts w:cstheme="minorHAnsi"/>
                <w:i/>
                <w:color w:val="000000"/>
                <w:sz w:val="20"/>
                <w:szCs w:val="20"/>
              </w:rPr>
              <w:t>udoskonalonych</w:t>
            </w:r>
          </w:p>
        </w:tc>
        <w:tc>
          <w:tcPr>
            <w:tcW w:w="1134" w:type="dxa"/>
            <w:tcBorders>
              <w:top w:val="single" w:sz="8" w:space="0" w:color="33CC33"/>
              <w:bottom w:val="single" w:sz="8" w:space="0" w:color="33CC33"/>
            </w:tcBorders>
            <w:vAlign w:val="center"/>
          </w:tcPr>
          <w:p w14:paraId="57BE0ACF" w14:textId="77777777" w:rsidR="0021480F" w:rsidRPr="00625664" w:rsidRDefault="0021480F" w:rsidP="00EB00A4">
            <w:pPr>
              <w:spacing w:before="60" w:after="60"/>
              <w:rPr>
                <w:rFonts w:cstheme="minorHAnsi"/>
                <w:sz w:val="20"/>
                <w:szCs w:val="20"/>
              </w:rPr>
            </w:pPr>
            <w:r w:rsidRPr="00625664">
              <w:rPr>
                <w:rFonts w:cstheme="minorHAnsi"/>
                <w:sz w:val="20"/>
                <w:szCs w:val="20"/>
              </w:rPr>
              <w:t>PLN</w:t>
            </w:r>
          </w:p>
        </w:tc>
        <w:tc>
          <w:tcPr>
            <w:tcW w:w="1418" w:type="dxa"/>
            <w:tcBorders>
              <w:top w:val="single" w:sz="8" w:space="0" w:color="33CC33"/>
              <w:bottom w:val="single" w:sz="8" w:space="0" w:color="33CC33"/>
            </w:tcBorders>
            <w:vAlign w:val="center"/>
          </w:tcPr>
          <w:p w14:paraId="30B1986B" w14:textId="77777777" w:rsidR="0021480F" w:rsidRPr="00625664" w:rsidRDefault="0021480F" w:rsidP="00EB00A4">
            <w:pPr>
              <w:spacing w:before="80" w:after="80"/>
              <w:rPr>
                <w:rFonts w:cstheme="minorHAnsi"/>
                <w:sz w:val="20"/>
                <w:szCs w:val="20"/>
              </w:rPr>
            </w:pPr>
            <w:r w:rsidRPr="00625664">
              <w:rPr>
                <w:rFonts w:cstheme="minorHAnsi"/>
                <w:sz w:val="20"/>
                <w:szCs w:val="20"/>
              </w:rPr>
              <w:t>rezultat</w:t>
            </w:r>
          </w:p>
        </w:tc>
        <w:tc>
          <w:tcPr>
            <w:tcW w:w="1417" w:type="dxa"/>
            <w:tcBorders>
              <w:top w:val="single" w:sz="8" w:space="0" w:color="33CC33"/>
              <w:bottom w:val="single" w:sz="8" w:space="0" w:color="33CC33"/>
            </w:tcBorders>
            <w:vAlign w:val="center"/>
          </w:tcPr>
          <w:p w14:paraId="283105F5" w14:textId="77777777" w:rsidR="0021480F" w:rsidRPr="00625664" w:rsidRDefault="0021480F" w:rsidP="00EB00A4">
            <w:pPr>
              <w:spacing w:before="80" w:after="80"/>
              <w:rPr>
                <w:rFonts w:cstheme="minorHAnsi"/>
                <w:sz w:val="20"/>
                <w:szCs w:val="20"/>
              </w:rPr>
            </w:pPr>
            <w:r>
              <w:rPr>
                <w:rFonts w:cstheme="minorHAnsi"/>
                <w:sz w:val="20"/>
                <w:szCs w:val="20"/>
              </w:rPr>
              <w:t>kluczowy</w:t>
            </w:r>
          </w:p>
        </w:tc>
        <w:tc>
          <w:tcPr>
            <w:tcW w:w="1276" w:type="dxa"/>
            <w:tcBorders>
              <w:top w:val="single" w:sz="8" w:space="0" w:color="33CC33"/>
              <w:bottom w:val="single" w:sz="8" w:space="0" w:color="33CC33"/>
            </w:tcBorders>
            <w:vAlign w:val="center"/>
          </w:tcPr>
          <w:p w14:paraId="7BBE4D9C" w14:textId="77777777" w:rsidR="0021480F" w:rsidRPr="00625664" w:rsidRDefault="0021480F" w:rsidP="00EB00A4">
            <w:pPr>
              <w:spacing w:before="80" w:after="80"/>
              <w:rPr>
                <w:rFonts w:cstheme="minorHAnsi"/>
                <w:sz w:val="20"/>
                <w:szCs w:val="20"/>
              </w:rPr>
            </w:pPr>
            <w:r w:rsidRPr="00625664">
              <w:rPr>
                <w:rFonts w:cstheme="minorHAnsi"/>
                <w:sz w:val="20"/>
                <w:szCs w:val="20"/>
              </w:rPr>
              <w:t>-</w:t>
            </w:r>
          </w:p>
        </w:tc>
        <w:tc>
          <w:tcPr>
            <w:tcW w:w="5670" w:type="dxa"/>
            <w:tcBorders>
              <w:top w:val="single" w:sz="8" w:space="0" w:color="33CC33"/>
              <w:bottom w:val="single" w:sz="8" w:space="0" w:color="33CC33"/>
            </w:tcBorders>
          </w:tcPr>
          <w:p w14:paraId="4EB4500F" w14:textId="77777777" w:rsidR="0021480F" w:rsidRPr="00625664" w:rsidRDefault="0021480F" w:rsidP="00EB00A4">
            <w:pPr>
              <w:rPr>
                <w:rFonts w:cstheme="minorHAnsi"/>
                <w:color w:val="000000"/>
                <w:sz w:val="20"/>
                <w:szCs w:val="20"/>
              </w:rPr>
            </w:pPr>
            <w:r w:rsidRPr="00625664">
              <w:rPr>
                <w:rFonts w:cstheme="minorHAnsi"/>
                <w:color w:val="000000"/>
                <w:sz w:val="20"/>
                <w:szCs w:val="20"/>
              </w:rPr>
              <w:t>Przychody ze sprzedaży nowych lub znacząco ulepszonych produktów lub usług w wyniku realizowanego projektu.</w:t>
            </w:r>
          </w:p>
          <w:p w14:paraId="767028FC" w14:textId="77777777" w:rsidR="0021480F" w:rsidRPr="00625664" w:rsidRDefault="0021480F" w:rsidP="00EB00A4">
            <w:pPr>
              <w:autoSpaceDE w:val="0"/>
              <w:autoSpaceDN w:val="0"/>
              <w:adjustRightInd w:val="0"/>
              <w:spacing w:before="80" w:after="40"/>
              <w:rPr>
                <w:rFonts w:cstheme="minorHAnsi"/>
                <w:color w:val="000000"/>
                <w:sz w:val="20"/>
                <w:szCs w:val="20"/>
              </w:rPr>
            </w:pPr>
          </w:p>
        </w:tc>
      </w:tr>
      <w:tr w:rsidR="0021480F" w:rsidRPr="004534FE" w14:paraId="65B1DFC2" w14:textId="77777777" w:rsidTr="000D262C">
        <w:trPr>
          <w:trHeight w:val="63"/>
        </w:trPr>
        <w:tc>
          <w:tcPr>
            <w:tcW w:w="552" w:type="dxa"/>
            <w:tcBorders>
              <w:top w:val="single" w:sz="8" w:space="0" w:color="33CC33"/>
              <w:bottom w:val="single" w:sz="8" w:space="0" w:color="33CC33"/>
            </w:tcBorders>
            <w:vAlign w:val="center"/>
          </w:tcPr>
          <w:p w14:paraId="297CF290" w14:textId="77777777" w:rsidR="0021480F" w:rsidRPr="003E090D" w:rsidRDefault="0021480F" w:rsidP="00EB00A4">
            <w:pPr>
              <w:spacing w:before="60" w:after="60"/>
              <w:rPr>
                <w:rFonts w:cstheme="minorHAnsi"/>
                <w:sz w:val="20"/>
                <w:szCs w:val="20"/>
              </w:rPr>
            </w:pPr>
            <w:r w:rsidRPr="003E090D">
              <w:rPr>
                <w:rFonts w:cstheme="minorHAnsi"/>
                <w:sz w:val="20"/>
                <w:szCs w:val="20"/>
              </w:rPr>
              <w:t>13.</w:t>
            </w:r>
          </w:p>
        </w:tc>
        <w:tc>
          <w:tcPr>
            <w:tcW w:w="2977" w:type="dxa"/>
            <w:tcBorders>
              <w:top w:val="single" w:sz="8" w:space="0" w:color="33CC33"/>
              <w:bottom w:val="single" w:sz="8" w:space="0" w:color="33CC33"/>
            </w:tcBorders>
            <w:vAlign w:val="center"/>
          </w:tcPr>
          <w:p w14:paraId="397258FA" w14:textId="77777777" w:rsidR="0021480F" w:rsidRPr="008A389C" w:rsidRDefault="0021480F" w:rsidP="00EB00A4">
            <w:pPr>
              <w:rPr>
                <w:rFonts w:cstheme="minorHAnsi"/>
                <w:i/>
                <w:sz w:val="20"/>
                <w:szCs w:val="20"/>
              </w:rPr>
            </w:pPr>
            <w:r w:rsidRPr="008A389C">
              <w:rPr>
                <w:rFonts w:cstheme="minorHAnsi"/>
                <w:i/>
                <w:sz w:val="20"/>
                <w:szCs w:val="20"/>
              </w:rPr>
              <w:t>Wspierane przedsiębiorstwa wysokiego wzrostu</w:t>
            </w:r>
          </w:p>
          <w:p w14:paraId="72CC406A" w14:textId="77777777" w:rsidR="0021480F" w:rsidRPr="008A389C" w:rsidRDefault="0021480F" w:rsidP="00EB00A4">
            <w:pPr>
              <w:autoSpaceDE w:val="0"/>
              <w:autoSpaceDN w:val="0"/>
              <w:adjustRightInd w:val="0"/>
              <w:rPr>
                <w:rFonts w:cstheme="minorHAnsi"/>
                <w:i/>
                <w:sz w:val="20"/>
                <w:szCs w:val="20"/>
              </w:rPr>
            </w:pPr>
          </w:p>
        </w:tc>
        <w:tc>
          <w:tcPr>
            <w:tcW w:w="1134" w:type="dxa"/>
            <w:tcBorders>
              <w:top w:val="single" w:sz="8" w:space="0" w:color="33CC33"/>
              <w:bottom w:val="single" w:sz="8" w:space="0" w:color="33CC33"/>
            </w:tcBorders>
            <w:vAlign w:val="center"/>
          </w:tcPr>
          <w:p w14:paraId="20D01B4B" w14:textId="77777777" w:rsidR="0021480F" w:rsidRPr="008A389C" w:rsidRDefault="0021480F" w:rsidP="00EB00A4">
            <w:pPr>
              <w:spacing w:before="60" w:after="60"/>
              <w:rPr>
                <w:rFonts w:cstheme="minorHAnsi"/>
                <w:sz w:val="20"/>
                <w:szCs w:val="20"/>
              </w:rPr>
            </w:pPr>
            <w:r w:rsidRPr="008A389C">
              <w:rPr>
                <w:rFonts w:cstheme="minorHAnsi"/>
                <w:sz w:val="20"/>
                <w:szCs w:val="20"/>
              </w:rPr>
              <w:t>szt.</w:t>
            </w:r>
          </w:p>
        </w:tc>
        <w:tc>
          <w:tcPr>
            <w:tcW w:w="1418" w:type="dxa"/>
            <w:tcBorders>
              <w:top w:val="single" w:sz="8" w:space="0" w:color="33CC33"/>
              <w:bottom w:val="single" w:sz="8" w:space="0" w:color="33CC33"/>
            </w:tcBorders>
            <w:vAlign w:val="center"/>
          </w:tcPr>
          <w:p w14:paraId="6AB3DE97" w14:textId="77777777" w:rsidR="0021480F" w:rsidRPr="008A389C" w:rsidRDefault="0021480F" w:rsidP="00EB00A4">
            <w:pPr>
              <w:spacing w:before="80" w:after="80"/>
              <w:rPr>
                <w:rFonts w:cstheme="minorHAnsi"/>
                <w:sz w:val="20"/>
                <w:szCs w:val="20"/>
              </w:rPr>
            </w:pPr>
            <w:r w:rsidRPr="008A389C">
              <w:rPr>
                <w:rFonts w:cstheme="minorHAnsi"/>
                <w:sz w:val="20"/>
                <w:szCs w:val="20"/>
              </w:rPr>
              <w:t>produkt</w:t>
            </w:r>
          </w:p>
        </w:tc>
        <w:tc>
          <w:tcPr>
            <w:tcW w:w="1417" w:type="dxa"/>
            <w:tcBorders>
              <w:top w:val="single" w:sz="8" w:space="0" w:color="33CC33"/>
              <w:bottom w:val="single" w:sz="8" w:space="0" w:color="33CC33"/>
            </w:tcBorders>
            <w:vAlign w:val="center"/>
          </w:tcPr>
          <w:p w14:paraId="116F389A" w14:textId="77777777" w:rsidR="0021480F" w:rsidRPr="008A389C" w:rsidRDefault="0021480F" w:rsidP="00EB00A4">
            <w:pPr>
              <w:spacing w:before="80" w:after="80"/>
              <w:rPr>
                <w:rFonts w:cstheme="minorHAnsi"/>
                <w:sz w:val="20"/>
                <w:szCs w:val="20"/>
              </w:rPr>
            </w:pPr>
            <w:r w:rsidRPr="008A389C">
              <w:rPr>
                <w:rFonts w:cstheme="minorHAnsi"/>
                <w:sz w:val="20"/>
                <w:szCs w:val="20"/>
              </w:rPr>
              <w:t>kluczowy</w:t>
            </w:r>
          </w:p>
        </w:tc>
        <w:tc>
          <w:tcPr>
            <w:tcW w:w="1276" w:type="dxa"/>
            <w:tcBorders>
              <w:top w:val="single" w:sz="8" w:space="0" w:color="33CC33"/>
              <w:bottom w:val="single" w:sz="8" w:space="0" w:color="33CC33"/>
            </w:tcBorders>
            <w:vAlign w:val="center"/>
          </w:tcPr>
          <w:p w14:paraId="72DB1514" w14:textId="77777777" w:rsidR="0021480F" w:rsidRPr="008A389C" w:rsidRDefault="0021480F" w:rsidP="00EB00A4">
            <w:pPr>
              <w:spacing w:before="80" w:after="80"/>
              <w:rPr>
                <w:rFonts w:cstheme="minorHAnsi"/>
                <w:sz w:val="20"/>
                <w:szCs w:val="20"/>
              </w:rPr>
            </w:pPr>
            <w:r w:rsidRPr="008A389C">
              <w:rPr>
                <w:rFonts w:eastAsia="Calibri" w:cstheme="minorHAnsi"/>
                <w:sz w:val="20"/>
                <w:szCs w:val="20"/>
              </w:rPr>
              <w:t>-</w:t>
            </w:r>
          </w:p>
        </w:tc>
        <w:tc>
          <w:tcPr>
            <w:tcW w:w="5670" w:type="dxa"/>
            <w:tcBorders>
              <w:top w:val="single" w:sz="8" w:space="0" w:color="33CC33"/>
              <w:bottom w:val="single" w:sz="8" w:space="0" w:color="33CC33"/>
            </w:tcBorders>
            <w:vAlign w:val="center"/>
          </w:tcPr>
          <w:p w14:paraId="59C495C0" w14:textId="77777777" w:rsidR="0021480F" w:rsidRPr="008A389C" w:rsidRDefault="0021480F" w:rsidP="00EB00A4">
            <w:pPr>
              <w:autoSpaceDE w:val="0"/>
              <w:autoSpaceDN w:val="0"/>
              <w:adjustRightInd w:val="0"/>
              <w:spacing w:before="80" w:after="40"/>
              <w:rPr>
                <w:rFonts w:cstheme="minorHAnsi"/>
                <w:sz w:val="20"/>
                <w:szCs w:val="20"/>
              </w:rPr>
            </w:pPr>
            <w:r w:rsidRPr="008A389C">
              <w:rPr>
                <w:rFonts w:cstheme="minorHAnsi"/>
                <w:sz w:val="20"/>
                <w:szCs w:val="20"/>
              </w:rPr>
              <w:t xml:space="preserve">Liczba wspieranych przedsiębiorstw wysokiego wzrostu. Przedsiębiorstwo wysokiego wzrostu definiuje się jako: 1) przedsiębiorstwo o średnim rocznym wzroście liczby zatrudnionych większym niż 10% przez okres trzech lat i posiadające co najmniej 10 pracownikami w momencie rozpoczęcia wzrostu lub 2) przedsiębiorstwo o średnim rocznym wzroście liczby zatrudnionych większym niż 20% przez okres trzech lat.    Zakłada się, że wspierane przedsiębiorstwa, liczone w ramach tego wskaźnika, odpowiadają definicji w momencie podejmowania decyzji o wsparciu (rozumiemy przez to podpisanie umowy o dofinansowanie projektu). Definicja przedsiębiorstwa znajduje się we wskaźniku </w:t>
            </w:r>
            <w:r w:rsidRPr="008A389C">
              <w:rPr>
                <w:rFonts w:cstheme="minorHAnsi"/>
                <w:i/>
                <w:sz w:val="20"/>
                <w:szCs w:val="20"/>
              </w:rPr>
              <w:t xml:space="preserve">Przedsiębiorstwa objęte wsparciem (w tym: mikro, małe, średnie, </w:t>
            </w:r>
            <w:proofErr w:type="spellStart"/>
            <w:r w:rsidRPr="008A389C">
              <w:rPr>
                <w:rFonts w:cstheme="minorHAnsi"/>
                <w:i/>
                <w:sz w:val="20"/>
                <w:szCs w:val="20"/>
              </w:rPr>
              <w:t>duże</w:t>
            </w:r>
            <w:proofErr w:type="spellEnd"/>
            <w:r w:rsidRPr="008A389C">
              <w:rPr>
                <w:rFonts w:cstheme="minorHAnsi"/>
                <w:i/>
                <w:sz w:val="20"/>
                <w:szCs w:val="20"/>
              </w:rPr>
              <w:t>)</w:t>
            </w:r>
            <w:r w:rsidRPr="008A389C">
              <w:rPr>
                <w:rFonts w:cstheme="minorHAnsi"/>
                <w:sz w:val="20"/>
                <w:szCs w:val="20"/>
              </w:rPr>
              <w:t>.</w:t>
            </w:r>
          </w:p>
        </w:tc>
      </w:tr>
      <w:tr w:rsidR="0021480F" w:rsidRPr="004534FE" w14:paraId="7A931C46" w14:textId="77777777" w:rsidTr="000D262C">
        <w:trPr>
          <w:trHeight w:val="63"/>
        </w:trPr>
        <w:tc>
          <w:tcPr>
            <w:tcW w:w="552" w:type="dxa"/>
            <w:tcBorders>
              <w:top w:val="single" w:sz="8" w:space="0" w:color="33CC33"/>
              <w:bottom w:val="single" w:sz="8" w:space="0" w:color="33CC33"/>
            </w:tcBorders>
            <w:vAlign w:val="center"/>
          </w:tcPr>
          <w:p w14:paraId="73E1FCBA" w14:textId="77777777" w:rsidR="0021480F" w:rsidRPr="007F14ED" w:rsidRDefault="0021480F" w:rsidP="00EB00A4">
            <w:pPr>
              <w:spacing w:before="60" w:after="60"/>
              <w:rPr>
                <w:rFonts w:cstheme="minorHAnsi"/>
                <w:sz w:val="20"/>
                <w:szCs w:val="20"/>
              </w:rPr>
            </w:pPr>
            <w:r>
              <w:rPr>
                <w:rFonts w:cstheme="minorHAnsi"/>
                <w:sz w:val="20"/>
                <w:szCs w:val="20"/>
              </w:rPr>
              <w:t>14</w:t>
            </w:r>
            <w:r w:rsidRPr="007F14ED">
              <w:rPr>
                <w:rFonts w:cstheme="minorHAnsi"/>
                <w:sz w:val="20"/>
                <w:szCs w:val="20"/>
              </w:rPr>
              <w:t>.</w:t>
            </w:r>
          </w:p>
        </w:tc>
        <w:tc>
          <w:tcPr>
            <w:tcW w:w="2977" w:type="dxa"/>
            <w:tcBorders>
              <w:top w:val="single" w:sz="8" w:space="0" w:color="33CC33"/>
              <w:bottom w:val="single" w:sz="8" w:space="0" w:color="33CC33"/>
            </w:tcBorders>
            <w:vAlign w:val="center"/>
          </w:tcPr>
          <w:p w14:paraId="3FA950F3" w14:textId="77777777" w:rsidR="0021480F" w:rsidRPr="008A389C" w:rsidRDefault="0021480F" w:rsidP="00EB00A4">
            <w:pPr>
              <w:rPr>
                <w:rFonts w:cstheme="minorHAnsi"/>
                <w:i/>
                <w:sz w:val="20"/>
                <w:szCs w:val="20"/>
              </w:rPr>
            </w:pPr>
            <w:r w:rsidRPr="008A389C">
              <w:rPr>
                <w:rFonts w:cstheme="minorHAnsi"/>
                <w:i/>
                <w:sz w:val="20"/>
                <w:szCs w:val="20"/>
              </w:rPr>
              <w:t>Przedsiębiorstwa o wyższym obrocie</w:t>
            </w:r>
          </w:p>
          <w:p w14:paraId="5D934AF9" w14:textId="77777777" w:rsidR="0021480F" w:rsidRPr="008A389C" w:rsidRDefault="0021480F" w:rsidP="00EB00A4">
            <w:pPr>
              <w:rPr>
                <w:rFonts w:cstheme="minorHAnsi"/>
                <w:i/>
                <w:sz w:val="20"/>
                <w:szCs w:val="20"/>
              </w:rPr>
            </w:pPr>
          </w:p>
        </w:tc>
        <w:tc>
          <w:tcPr>
            <w:tcW w:w="1134" w:type="dxa"/>
            <w:tcBorders>
              <w:top w:val="single" w:sz="8" w:space="0" w:color="33CC33"/>
              <w:bottom w:val="single" w:sz="8" w:space="0" w:color="33CC33"/>
            </w:tcBorders>
            <w:vAlign w:val="center"/>
          </w:tcPr>
          <w:p w14:paraId="76B02458" w14:textId="77777777" w:rsidR="0021480F" w:rsidRPr="008A389C" w:rsidRDefault="0021480F" w:rsidP="00EB00A4">
            <w:pPr>
              <w:spacing w:before="60" w:after="60"/>
              <w:rPr>
                <w:rFonts w:cstheme="minorHAnsi"/>
                <w:sz w:val="20"/>
                <w:szCs w:val="20"/>
              </w:rPr>
            </w:pPr>
            <w:r w:rsidRPr="008A389C">
              <w:rPr>
                <w:rFonts w:cstheme="minorHAnsi"/>
                <w:sz w:val="20"/>
                <w:szCs w:val="20"/>
              </w:rPr>
              <w:t>szt.</w:t>
            </w:r>
          </w:p>
        </w:tc>
        <w:tc>
          <w:tcPr>
            <w:tcW w:w="1418" w:type="dxa"/>
            <w:tcBorders>
              <w:top w:val="single" w:sz="8" w:space="0" w:color="33CC33"/>
              <w:bottom w:val="single" w:sz="8" w:space="0" w:color="33CC33"/>
            </w:tcBorders>
            <w:vAlign w:val="center"/>
          </w:tcPr>
          <w:p w14:paraId="5E6F47C4" w14:textId="77777777" w:rsidR="0021480F" w:rsidRPr="008A389C" w:rsidRDefault="0021480F" w:rsidP="00EB00A4">
            <w:pPr>
              <w:spacing w:before="80" w:after="80"/>
              <w:rPr>
                <w:rFonts w:cstheme="minorHAnsi"/>
                <w:sz w:val="20"/>
                <w:szCs w:val="20"/>
              </w:rPr>
            </w:pPr>
            <w:r w:rsidRPr="008A389C">
              <w:rPr>
                <w:rFonts w:cstheme="minorHAnsi"/>
                <w:sz w:val="20"/>
                <w:szCs w:val="20"/>
              </w:rPr>
              <w:t>rezultat</w:t>
            </w:r>
          </w:p>
        </w:tc>
        <w:tc>
          <w:tcPr>
            <w:tcW w:w="1417" w:type="dxa"/>
            <w:tcBorders>
              <w:top w:val="single" w:sz="8" w:space="0" w:color="33CC33"/>
              <w:bottom w:val="single" w:sz="8" w:space="0" w:color="33CC33"/>
            </w:tcBorders>
            <w:vAlign w:val="center"/>
          </w:tcPr>
          <w:p w14:paraId="6E211785" w14:textId="77777777" w:rsidR="0021480F" w:rsidRPr="008A389C" w:rsidRDefault="0021480F" w:rsidP="00EB00A4">
            <w:pPr>
              <w:spacing w:before="80" w:after="80"/>
              <w:rPr>
                <w:rFonts w:cstheme="minorHAnsi"/>
                <w:sz w:val="20"/>
                <w:szCs w:val="20"/>
              </w:rPr>
            </w:pPr>
            <w:r w:rsidRPr="008A389C">
              <w:rPr>
                <w:rFonts w:cstheme="minorHAnsi"/>
                <w:sz w:val="20"/>
                <w:szCs w:val="20"/>
              </w:rPr>
              <w:t>kluczowy</w:t>
            </w:r>
          </w:p>
        </w:tc>
        <w:tc>
          <w:tcPr>
            <w:tcW w:w="1276" w:type="dxa"/>
            <w:tcBorders>
              <w:top w:val="single" w:sz="8" w:space="0" w:color="33CC33"/>
              <w:bottom w:val="single" w:sz="8" w:space="0" w:color="33CC33"/>
            </w:tcBorders>
            <w:vAlign w:val="center"/>
          </w:tcPr>
          <w:p w14:paraId="06904A0C" w14:textId="77777777" w:rsidR="0021480F" w:rsidRPr="008A389C" w:rsidRDefault="0021480F" w:rsidP="00EB00A4">
            <w:pPr>
              <w:spacing w:before="80" w:after="80"/>
              <w:rPr>
                <w:rFonts w:eastAsia="Calibri" w:cstheme="minorHAnsi"/>
                <w:sz w:val="20"/>
                <w:szCs w:val="20"/>
              </w:rPr>
            </w:pPr>
            <w:r w:rsidRPr="008A389C">
              <w:rPr>
                <w:rFonts w:eastAsia="Calibri" w:cstheme="minorHAnsi"/>
                <w:sz w:val="20"/>
                <w:szCs w:val="20"/>
              </w:rPr>
              <w:t>-</w:t>
            </w:r>
          </w:p>
        </w:tc>
        <w:tc>
          <w:tcPr>
            <w:tcW w:w="5670" w:type="dxa"/>
            <w:tcBorders>
              <w:top w:val="single" w:sz="8" w:space="0" w:color="33CC33"/>
              <w:bottom w:val="single" w:sz="8" w:space="0" w:color="33CC33"/>
            </w:tcBorders>
            <w:vAlign w:val="center"/>
          </w:tcPr>
          <w:p w14:paraId="6875643B" w14:textId="77777777" w:rsidR="0021480F" w:rsidRPr="008A389C" w:rsidRDefault="0021480F" w:rsidP="00EB00A4">
            <w:pPr>
              <w:autoSpaceDE w:val="0"/>
              <w:autoSpaceDN w:val="0"/>
              <w:adjustRightInd w:val="0"/>
              <w:spacing w:before="80" w:after="40"/>
              <w:rPr>
                <w:rFonts w:cstheme="minorHAnsi"/>
                <w:sz w:val="20"/>
                <w:szCs w:val="20"/>
              </w:rPr>
            </w:pPr>
            <w:r w:rsidRPr="008A389C">
              <w:rPr>
                <w:rFonts w:cstheme="minorHAnsi"/>
                <w:sz w:val="20"/>
                <w:szCs w:val="20"/>
              </w:rPr>
              <w:t>Liczba przedsiębiorstw wspieranych w celu utrzymania lub osiągnięcia wzrostu obrotów. Wskaźnik zlicza przedsiębiorstwa, w których roczny obrót za rok obrotowy następujący po roku ukończenia produktu jest co najmniej tak wysoki, jak roczny wzrost obrotów w roku poprzedzającym rozpoczęcie projektu. W przypadku przedsiębiorstw, które przed rozpoczęciem projektu nie odnotowały wzrostu obrotów lub miały ujemne obroty, stopa wzrostu obrotów w roku obrotowym następującym po roku ukończenia produktu powinna wynosić co najmniej 2%. Obrót przedsiębiorstwa obejmuje sumy zafakturowane przez przedsiębiorstwo w okresie odniesienia (jeden rok) i odpowiada sprzedaży rynkowej towarów i usług dostarczonych stronom trzecim. Przez „ukończenie produktu” należy rozumieć  zakończenie rzeczowej realizacji projektu.</w:t>
            </w:r>
          </w:p>
        </w:tc>
      </w:tr>
      <w:tr w:rsidR="0021480F" w:rsidRPr="004534FE" w14:paraId="3AD2EED1" w14:textId="77777777" w:rsidTr="000D262C">
        <w:trPr>
          <w:trHeight w:val="63"/>
        </w:trPr>
        <w:tc>
          <w:tcPr>
            <w:tcW w:w="552" w:type="dxa"/>
            <w:tcBorders>
              <w:top w:val="single" w:sz="8" w:space="0" w:color="33CC33"/>
              <w:bottom w:val="single" w:sz="12" w:space="0" w:color="33CC33"/>
            </w:tcBorders>
            <w:vAlign w:val="center"/>
          </w:tcPr>
          <w:p w14:paraId="78B09865" w14:textId="77777777" w:rsidR="0021480F" w:rsidRPr="007F14ED" w:rsidRDefault="0021480F" w:rsidP="00EB00A4">
            <w:pPr>
              <w:spacing w:before="60" w:after="60"/>
              <w:rPr>
                <w:rFonts w:cstheme="minorHAnsi"/>
                <w:sz w:val="20"/>
                <w:szCs w:val="20"/>
              </w:rPr>
            </w:pPr>
            <w:r>
              <w:rPr>
                <w:rFonts w:cstheme="minorHAnsi"/>
                <w:sz w:val="20"/>
                <w:szCs w:val="20"/>
              </w:rPr>
              <w:t>15</w:t>
            </w:r>
            <w:r w:rsidRPr="007F14ED">
              <w:rPr>
                <w:rFonts w:cstheme="minorHAnsi"/>
                <w:sz w:val="20"/>
                <w:szCs w:val="20"/>
              </w:rPr>
              <w:t>.</w:t>
            </w:r>
          </w:p>
        </w:tc>
        <w:tc>
          <w:tcPr>
            <w:tcW w:w="2977" w:type="dxa"/>
            <w:tcBorders>
              <w:top w:val="single" w:sz="8" w:space="0" w:color="33CC33"/>
              <w:bottom w:val="single" w:sz="12" w:space="0" w:color="33CC33"/>
            </w:tcBorders>
            <w:vAlign w:val="center"/>
          </w:tcPr>
          <w:p w14:paraId="29D35B58" w14:textId="77777777" w:rsidR="0021480F" w:rsidRPr="008A389C" w:rsidRDefault="0021480F" w:rsidP="00EB00A4">
            <w:pPr>
              <w:rPr>
                <w:rFonts w:cstheme="minorHAnsi"/>
                <w:i/>
                <w:sz w:val="20"/>
                <w:szCs w:val="20"/>
              </w:rPr>
            </w:pPr>
            <w:r w:rsidRPr="008A389C">
              <w:rPr>
                <w:rFonts w:cstheme="minorHAnsi"/>
                <w:i/>
                <w:sz w:val="20"/>
                <w:szCs w:val="20"/>
              </w:rPr>
              <w:t>MŚP z wyższą wartością̨ dodaną na pracownika</w:t>
            </w:r>
          </w:p>
          <w:p w14:paraId="2C64142A" w14:textId="77777777" w:rsidR="0021480F" w:rsidRPr="008A389C" w:rsidRDefault="0021480F" w:rsidP="00EB00A4">
            <w:pPr>
              <w:rPr>
                <w:rFonts w:cstheme="minorHAnsi"/>
                <w:i/>
                <w:sz w:val="20"/>
                <w:szCs w:val="20"/>
              </w:rPr>
            </w:pPr>
          </w:p>
        </w:tc>
        <w:tc>
          <w:tcPr>
            <w:tcW w:w="1134" w:type="dxa"/>
            <w:tcBorders>
              <w:top w:val="single" w:sz="8" w:space="0" w:color="33CC33"/>
              <w:bottom w:val="single" w:sz="12" w:space="0" w:color="33CC33"/>
            </w:tcBorders>
            <w:vAlign w:val="center"/>
          </w:tcPr>
          <w:p w14:paraId="166656E4" w14:textId="77777777" w:rsidR="0021480F" w:rsidRPr="008A389C" w:rsidRDefault="0021480F" w:rsidP="00EB00A4">
            <w:pPr>
              <w:spacing w:before="60" w:after="60"/>
              <w:rPr>
                <w:rFonts w:cstheme="minorHAnsi"/>
                <w:sz w:val="20"/>
                <w:szCs w:val="20"/>
              </w:rPr>
            </w:pPr>
            <w:r w:rsidRPr="008A389C">
              <w:rPr>
                <w:rFonts w:cstheme="minorHAnsi"/>
                <w:sz w:val="20"/>
                <w:szCs w:val="20"/>
              </w:rPr>
              <w:t>szt.</w:t>
            </w:r>
          </w:p>
        </w:tc>
        <w:tc>
          <w:tcPr>
            <w:tcW w:w="1418" w:type="dxa"/>
            <w:tcBorders>
              <w:top w:val="single" w:sz="8" w:space="0" w:color="33CC33"/>
              <w:bottom w:val="single" w:sz="12" w:space="0" w:color="33CC33"/>
            </w:tcBorders>
            <w:vAlign w:val="center"/>
          </w:tcPr>
          <w:p w14:paraId="6F20352D" w14:textId="77777777" w:rsidR="0021480F" w:rsidRPr="008A389C" w:rsidRDefault="0021480F" w:rsidP="00EB00A4">
            <w:pPr>
              <w:spacing w:before="80" w:after="80"/>
              <w:rPr>
                <w:rFonts w:cstheme="minorHAnsi"/>
                <w:sz w:val="20"/>
                <w:szCs w:val="20"/>
              </w:rPr>
            </w:pPr>
            <w:r w:rsidRPr="008A389C">
              <w:rPr>
                <w:rFonts w:cstheme="minorHAnsi"/>
                <w:sz w:val="20"/>
                <w:szCs w:val="20"/>
              </w:rPr>
              <w:t>rezultat</w:t>
            </w:r>
          </w:p>
        </w:tc>
        <w:tc>
          <w:tcPr>
            <w:tcW w:w="1417" w:type="dxa"/>
            <w:tcBorders>
              <w:top w:val="single" w:sz="8" w:space="0" w:color="33CC33"/>
              <w:bottom w:val="single" w:sz="12" w:space="0" w:color="33CC33"/>
            </w:tcBorders>
            <w:vAlign w:val="center"/>
          </w:tcPr>
          <w:p w14:paraId="41A50312" w14:textId="77777777" w:rsidR="0021480F" w:rsidRPr="008A389C" w:rsidRDefault="0021480F" w:rsidP="00EB00A4">
            <w:pPr>
              <w:spacing w:before="80" w:after="80"/>
              <w:rPr>
                <w:rFonts w:cstheme="minorHAnsi"/>
                <w:sz w:val="20"/>
                <w:szCs w:val="20"/>
              </w:rPr>
            </w:pPr>
            <w:r w:rsidRPr="008A389C">
              <w:rPr>
                <w:rFonts w:cstheme="minorHAnsi"/>
                <w:sz w:val="20"/>
                <w:szCs w:val="20"/>
              </w:rPr>
              <w:t>kluczowy</w:t>
            </w:r>
          </w:p>
        </w:tc>
        <w:tc>
          <w:tcPr>
            <w:tcW w:w="1276" w:type="dxa"/>
            <w:tcBorders>
              <w:top w:val="single" w:sz="8" w:space="0" w:color="33CC33"/>
              <w:bottom w:val="single" w:sz="12" w:space="0" w:color="33CC33"/>
            </w:tcBorders>
            <w:vAlign w:val="center"/>
          </w:tcPr>
          <w:p w14:paraId="7273AFF7" w14:textId="77777777" w:rsidR="0021480F" w:rsidRPr="008A389C" w:rsidRDefault="0021480F" w:rsidP="00EB00A4">
            <w:pPr>
              <w:spacing w:before="80" w:after="80"/>
              <w:rPr>
                <w:rFonts w:eastAsia="Calibri" w:cstheme="minorHAnsi"/>
                <w:sz w:val="20"/>
                <w:szCs w:val="20"/>
              </w:rPr>
            </w:pPr>
            <w:r w:rsidRPr="008A389C">
              <w:rPr>
                <w:rFonts w:cstheme="minorHAnsi"/>
                <w:sz w:val="20"/>
                <w:szCs w:val="20"/>
              </w:rPr>
              <w:t>Wskaźnik programowy</w:t>
            </w:r>
          </w:p>
        </w:tc>
        <w:tc>
          <w:tcPr>
            <w:tcW w:w="5670" w:type="dxa"/>
            <w:tcBorders>
              <w:top w:val="single" w:sz="8" w:space="0" w:color="33CC33"/>
              <w:bottom w:val="single" w:sz="12" w:space="0" w:color="33CC33"/>
            </w:tcBorders>
            <w:vAlign w:val="center"/>
          </w:tcPr>
          <w:p w14:paraId="5B327C2F" w14:textId="77777777" w:rsidR="0021480F" w:rsidRPr="008A389C" w:rsidRDefault="0021480F" w:rsidP="00EB00A4">
            <w:pPr>
              <w:autoSpaceDE w:val="0"/>
              <w:autoSpaceDN w:val="0"/>
              <w:adjustRightInd w:val="0"/>
              <w:spacing w:before="80" w:after="40"/>
              <w:rPr>
                <w:rFonts w:cstheme="minorHAnsi"/>
                <w:sz w:val="20"/>
                <w:szCs w:val="20"/>
              </w:rPr>
            </w:pPr>
            <w:r w:rsidRPr="008A389C">
              <w:rPr>
                <w:rFonts w:cstheme="minorHAnsi"/>
                <w:sz w:val="20"/>
                <w:szCs w:val="20"/>
              </w:rPr>
              <w:t xml:space="preserve">Liczba wspieranych przedsiębiorstw osiągających wyższą wartość dodaną na pracownika. Wskaźnik zlicza przedsiębiorstwa, w których wartość dodana na pracownika za rok obrotowy następujący po roku ukończenia produktu jest co najmniej 2% wyższa niż wartość dodana na pracownika w roku poprzedzającym rozpoczęcie projektu. </w:t>
            </w:r>
            <w:r w:rsidRPr="008A389C">
              <w:rPr>
                <w:rFonts w:cstheme="minorHAnsi"/>
                <w:sz w:val="20"/>
                <w:szCs w:val="20"/>
              </w:rPr>
              <w:br/>
              <w:t xml:space="preserve">Całkowita wartość dodana jest mierzona według kosztu czynników jako dochód brutto z działalności operacyjnej po skorygowaniu o dotacje operacyjne i podatki pośrednie. Wartość dodana na pracownika jest obliczana jako stosunek całkowitej wartości dodanej i rocznych EPC zatrudnionych w danym roku.  </w:t>
            </w:r>
            <w:r w:rsidRPr="008A389C">
              <w:rPr>
                <w:rFonts w:cstheme="minorHAnsi"/>
                <w:sz w:val="20"/>
                <w:szCs w:val="20"/>
              </w:rPr>
              <w:br/>
              <w:t>Przez „ukończenie produktu” należy rozumieć  zakończenie rzeczowej realizacji projektu.</w:t>
            </w:r>
          </w:p>
        </w:tc>
      </w:tr>
    </w:tbl>
    <w:p w14:paraId="4920964D" w14:textId="77777777" w:rsidR="0021480F" w:rsidRPr="004534FE" w:rsidRDefault="0021480F" w:rsidP="00EB00A4">
      <w:pPr>
        <w:spacing w:after="0"/>
        <w:ind w:hanging="142"/>
        <w:rPr>
          <w:rFonts w:ascii="Arial" w:hAnsi="Arial" w:cs="Arial"/>
          <w:sz w:val="20"/>
          <w:szCs w:val="20"/>
        </w:rPr>
      </w:pPr>
    </w:p>
    <w:p w14:paraId="0232E1AA" w14:textId="77777777" w:rsidR="0021480F" w:rsidRPr="004534FE" w:rsidRDefault="0021480F" w:rsidP="00EB00A4">
      <w:pPr>
        <w:spacing w:after="0"/>
        <w:ind w:hanging="142"/>
        <w:rPr>
          <w:rFonts w:ascii="Arial" w:hAnsi="Arial" w:cs="Arial"/>
          <w:sz w:val="20"/>
          <w:szCs w:val="20"/>
        </w:rPr>
      </w:pPr>
    </w:p>
    <w:p w14:paraId="7507FA7D" w14:textId="77777777" w:rsidR="0021480F" w:rsidRPr="004534FE" w:rsidRDefault="0021480F" w:rsidP="00EB00A4">
      <w:pPr>
        <w:spacing w:after="0"/>
        <w:ind w:hanging="142"/>
        <w:rPr>
          <w:rFonts w:ascii="Arial" w:hAnsi="Arial" w:cs="Arial"/>
          <w:sz w:val="20"/>
          <w:szCs w:val="20"/>
        </w:rPr>
      </w:pPr>
    </w:p>
    <w:p w14:paraId="4E219568" w14:textId="77777777" w:rsidR="0021480F" w:rsidRPr="004534FE" w:rsidRDefault="0021480F" w:rsidP="00EB00A4">
      <w:pPr>
        <w:tabs>
          <w:tab w:val="left" w:pos="3402"/>
          <w:tab w:val="left" w:pos="5103"/>
        </w:tabs>
        <w:rPr>
          <w:rFonts w:ascii="Arial" w:hAnsi="Arial" w:cs="Arial"/>
          <w:sz w:val="20"/>
          <w:szCs w:val="20"/>
        </w:rPr>
      </w:pPr>
    </w:p>
    <w:p w14:paraId="0BC5AC69" w14:textId="77777777" w:rsidR="006E73CC" w:rsidRPr="00E77035" w:rsidRDefault="006E73CC" w:rsidP="00EB00A4"/>
    <w:sectPr w:rsidR="006E73CC" w:rsidRPr="00E77035" w:rsidSect="00912BFA">
      <w:headerReference w:type="default" r:id="rId9"/>
      <w:footerReference w:type="default" r:id="rId10"/>
      <w:pgSz w:w="16838" w:h="11906" w:orient="landscape"/>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8E447" w14:textId="77777777" w:rsidR="00D34608" w:rsidRDefault="00D34608" w:rsidP="001A07DF">
      <w:pPr>
        <w:spacing w:after="0" w:line="240" w:lineRule="auto"/>
      </w:pPr>
      <w:r>
        <w:separator/>
      </w:r>
    </w:p>
  </w:endnote>
  <w:endnote w:type="continuationSeparator" w:id="0">
    <w:p w14:paraId="5C582C6F" w14:textId="77777777" w:rsidR="00D34608" w:rsidRDefault="00D34608"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322853"/>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EB00A4">
          <w:rPr>
            <w:noProof/>
          </w:rPr>
          <w:t>14</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69ED" w14:textId="77777777" w:rsidR="00D34608" w:rsidRDefault="00D34608" w:rsidP="001A07DF">
      <w:pPr>
        <w:spacing w:after="0" w:line="240" w:lineRule="auto"/>
      </w:pPr>
      <w:r>
        <w:separator/>
      </w:r>
    </w:p>
  </w:footnote>
  <w:footnote w:type="continuationSeparator" w:id="0">
    <w:p w14:paraId="2A1E1DE0" w14:textId="77777777" w:rsidR="00D34608" w:rsidRDefault="00D34608" w:rsidP="001A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B3D9" w14:textId="77777777" w:rsidR="00BA3BB9" w:rsidRDefault="00BA3BB9" w:rsidP="00EB00A4">
    <w:pPr>
      <w:pStyle w:val="Nagwek1"/>
      <w:spacing w:before="0"/>
      <w:rPr>
        <w:rFonts w:ascii="Calibri" w:eastAsia="Arial" w:hAnsi="Calibri" w:cs="Arial"/>
        <w:bCs/>
        <w:iCs/>
        <w:color w:val="auto"/>
        <w:sz w:val="24"/>
        <w:szCs w:val="24"/>
      </w:rPr>
    </w:pPr>
    <w:r w:rsidRPr="00BA3BB9">
      <w:rPr>
        <w:rFonts w:ascii="Calibri" w:eastAsia="Arial" w:hAnsi="Calibri" w:cs="Arial"/>
        <w:b/>
        <w:iCs/>
        <w:color w:val="auto"/>
        <w:sz w:val="24"/>
        <w:szCs w:val="24"/>
      </w:rPr>
      <w:t>Załącznik nr 9</w:t>
    </w:r>
    <w:r w:rsidRPr="00BA3BB9">
      <w:rPr>
        <w:rFonts w:ascii="Calibri" w:eastAsia="Arial" w:hAnsi="Calibri" w:cs="Arial"/>
        <w:bCs/>
        <w:iCs/>
        <w:color w:val="auto"/>
        <w:sz w:val="24"/>
        <w:szCs w:val="24"/>
      </w:rPr>
      <w:t xml:space="preserve"> do Regulaminu wyboru projektów</w:t>
    </w:r>
  </w:p>
  <w:p w14:paraId="011948B7" w14:textId="77777777" w:rsidR="0054271F" w:rsidRDefault="00BA3BB9" w:rsidP="00EB00A4">
    <w:pPr>
      <w:pStyle w:val="Nagwek1"/>
      <w:spacing w:before="0"/>
      <w:rPr>
        <w:rFonts w:ascii="Calibri" w:eastAsia="Arial" w:hAnsi="Calibri" w:cs="Arial"/>
        <w:bCs/>
        <w:iCs/>
        <w:color w:val="auto"/>
        <w:sz w:val="24"/>
        <w:szCs w:val="24"/>
      </w:rPr>
    </w:pPr>
    <w:r w:rsidRPr="00BA3BB9">
      <w:rPr>
        <w:rFonts w:ascii="Calibri" w:eastAsia="Arial" w:hAnsi="Calibri" w:cs="Arial"/>
        <w:bCs/>
        <w:iCs/>
        <w:color w:val="auto"/>
        <w:sz w:val="24"/>
        <w:szCs w:val="24"/>
      </w:rPr>
      <w:t xml:space="preserve"> Działanie 1.7 Opolskie Konkurencyjne</w:t>
    </w:r>
  </w:p>
  <w:p w14:paraId="19B315FA" w14:textId="270CF19C" w:rsidR="00656C2B" w:rsidRPr="00BA3BB9" w:rsidRDefault="00BA3BB9" w:rsidP="00EB00A4">
    <w:pPr>
      <w:pStyle w:val="Nagwek1"/>
      <w:spacing w:before="0"/>
      <w:rPr>
        <w:rFonts w:ascii="Calibri" w:eastAsia="Arial" w:hAnsi="Calibri" w:cs="Arial"/>
        <w:bCs/>
        <w:iCs/>
        <w:color w:val="auto"/>
        <w:sz w:val="24"/>
        <w:szCs w:val="24"/>
      </w:rPr>
    </w:pPr>
    <w:r w:rsidRPr="00BA3BB9">
      <w:rPr>
        <w:rFonts w:ascii="Calibri" w:eastAsia="Arial" w:hAnsi="Calibri" w:cs="Arial"/>
        <w:bCs/>
        <w:iCs/>
        <w:color w:val="auto"/>
        <w:sz w:val="24"/>
        <w:szCs w:val="24"/>
      </w:rPr>
      <w:t xml:space="preserve"> FEO 2021-2027</w:t>
    </w:r>
    <w:r w:rsidR="00B65949">
      <w:rPr>
        <w:rFonts w:ascii="Calibri" w:eastAsia="Arial" w:hAnsi="Calibri" w:cs="Arial"/>
        <w:bCs/>
        <w:iCs/>
        <w:color w:val="auto"/>
        <w:sz w:val="24"/>
        <w:szCs w:val="24"/>
      </w:rPr>
      <w:t>,</w:t>
    </w:r>
    <w:r w:rsidR="0054271F">
      <w:rPr>
        <w:rFonts w:ascii="Calibri" w:eastAsia="Arial" w:hAnsi="Calibri" w:cs="Arial"/>
        <w:bCs/>
        <w:iCs/>
        <w:color w:val="auto"/>
        <w:sz w:val="24"/>
        <w:szCs w:val="24"/>
      </w:rPr>
      <w:t xml:space="preserve"> </w:t>
    </w:r>
    <w:r w:rsidRPr="00BA3BB9">
      <w:rPr>
        <w:rFonts w:ascii="Calibri" w:eastAsia="Arial" w:hAnsi="Calibri" w:cs="Arial"/>
        <w:bCs/>
        <w:iCs/>
        <w:color w:val="auto"/>
        <w:sz w:val="24"/>
        <w:szCs w:val="24"/>
      </w:rPr>
      <w:t>czerwiec 2024r.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FE1804"/>
    <w:multiLevelType w:val="hybridMultilevel"/>
    <w:tmpl w:val="EB34E7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2225D7"/>
    <w:multiLevelType w:val="hybridMultilevel"/>
    <w:tmpl w:val="E34218DC"/>
    <w:lvl w:ilvl="0" w:tplc="D6EA70E0">
      <w:start w:val="1"/>
      <w:numFmt w:val="bullet"/>
      <w:lvlText w:val="−"/>
      <w:lvlJc w:val="left"/>
      <w:pPr>
        <w:ind w:left="720" w:hanging="360"/>
      </w:pPr>
      <w:rPr>
        <w:rFonts w:ascii="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2"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E5282E"/>
    <w:multiLevelType w:val="hybridMultilevel"/>
    <w:tmpl w:val="B3CE815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0"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E17020"/>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C96A74"/>
    <w:multiLevelType w:val="hybridMultilevel"/>
    <w:tmpl w:val="2A4270E4"/>
    <w:lvl w:ilvl="0" w:tplc="50A2EFAC">
      <w:start w:val="1"/>
      <w:numFmt w:val="decimal"/>
      <w:lvlText w:val="%1)"/>
      <w:lvlJc w:val="left"/>
      <w:pPr>
        <w:ind w:left="847" w:hanging="70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5493125">
    <w:abstractNumId w:val="13"/>
  </w:num>
  <w:num w:numId="2" w16cid:durableId="1159152145">
    <w:abstractNumId w:val="9"/>
  </w:num>
  <w:num w:numId="3" w16cid:durableId="802383088">
    <w:abstractNumId w:val="7"/>
  </w:num>
  <w:num w:numId="4" w16cid:durableId="570190397">
    <w:abstractNumId w:val="2"/>
  </w:num>
  <w:num w:numId="5" w16cid:durableId="1511483344">
    <w:abstractNumId w:val="1"/>
  </w:num>
  <w:num w:numId="6" w16cid:durableId="1179850049">
    <w:abstractNumId w:val="12"/>
  </w:num>
  <w:num w:numId="7" w16cid:durableId="306009680">
    <w:abstractNumId w:val="22"/>
  </w:num>
  <w:num w:numId="8" w16cid:durableId="1039085427">
    <w:abstractNumId w:val="23"/>
  </w:num>
  <w:num w:numId="9" w16cid:durableId="361175754">
    <w:abstractNumId w:val="15"/>
  </w:num>
  <w:num w:numId="10" w16cid:durableId="890312958">
    <w:abstractNumId w:val="10"/>
  </w:num>
  <w:num w:numId="11" w16cid:durableId="2131897885">
    <w:abstractNumId w:val="16"/>
  </w:num>
  <w:num w:numId="12" w16cid:durableId="1723289983">
    <w:abstractNumId w:val="11"/>
  </w:num>
  <w:num w:numId="13" w16cid:durableId="1968511966">
    <w:abstractNumId w:val="8"/>
  </w:num>
  <w:num w:numId="14" w16cid:durableId="466898920">
    <w:abstractNumId w:val="17"/>
  </w:num>
  <w:num w:numId="15" w16cid:durableId="1148479758">
    <w:abstractNumId w:val="19"/>
  </w:num>
  <w:num w:numId="16" w16cid:durableId="1802386315">
    <w:abstractNumId w:val="0"/>
  </w:num>
  <w:num w:numId="17" w16cid:durableId="1587686373">
    <w:abstractNumId w:val="6"/>
  </w:num>
  <w:num w:numId="18" w16cid:durableId="130445069">
    <w:abstractNumId w:val="20"/>
  </w:num>
  <w:num w:numId="19" w16cid:durableId="108547836">
    <w:abstractNumId w:val="3"/>
  </w:num>
  <w:num w:numId="20" w16cid:durableId="921450332">
    <w:abstractNumId w:val="18"/>
  </w:num>
  <w:num w:numId="21" w16cid:durableId="1546792075">
    <w:abstractNumId w:val="14"/>
  </w:num>
  <w:num w:numId="22" w16cid:durableId="1940486128">
    <w:abstractNumId w:val="4"/>
  </w:num>
  <w:num w:numId="23" w16cid:durableId="1099717937">
    <w:abstractNumId w:val="21"/>
  </w:num>
  <w:num w:numId="24" w16cid:durableId="369305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0179"/>
    <w:rsid w:val="000103DC"/>
    <w:rsid w:val="00015440"/>
    <w:rsid w:val="000167EE"/>
    <w:rsid w:val="00022A9E"/>
    <w:rsid w:val="0002685C"/>
    <w:rsid w:val="000279E5"/>
    <w:rsid w:val="000349DD"/>
    <w:rsid w:val="00054930"/>
    <w:rsid w:val="0005762F"/>
    <w:rsid w:val="00061230"/>
    <w:rsid w:val="00063F93"/>
    <w:rsid w:val="0009022D"/>
    <w:rsid w:val="00090BF6"/>
    <w:rsid w:val="000A3C38"/>
    <w:rsid w:val="000C3110"/>
    <w:rsid w:val="000D047E"/>
    <w:rsid w:val="000D242C"/>
    <w:rsid w:val="000D5197"/>
    <w:rsid w:val="000D59FE"/>
    <w:rsid w:val="000E6B18"/>
    <w:rsid w:val="00125CA8"/>
    <w:rsid w:val="001465A3"/>
    <w:rsid w:val="0016686A"/>
    <w:rsid w:val="00181F16"/>
    <w:rsid w:val="0018708E"/>
    <w:rsid w:val="001A07DF"/>
    <w:rsid w:val="001C312B"/>
    <w:rsid w:val="001F0E8E"/>
    <w:rsid w:val="00203D3D"/>
    <w:rsid w:val="0021023B"/>
    <w:rsid w:val="0021480F"/>
    <w:rsid w:val="002149DF"/>
    <w:rsid w:val="002248D2"/>
    <w:rsid w:val="00226B7A"/>
    <w:rsid w:val="0023169B"/>
    <w:rsid w:val="00271368"/>
    <w:rsid w:val="00285A8C"/>
    <w:rsid w:val="00295A98"/>
    <w:rsid w:val="00295F5B"/>
    <w:rsid w:val="00297AB2"/>
    <w:rsid w:val="002A3EFF"/>
    <w:rsid w:val="002B221E"/>
    <w:rsid w:val="002B3DF7"/>
    <w:rsid w:val="002B4AA8"/>
    <w:rsid w:val="002D7FC0"/>
    <w:rsid w:val="002E1AB5"/>
    <w:rsid w:val="003161AF"/>
    <w:rsid w:val="003228EA"/>
    <w:rsid w:val="00323345"/>
    <w:rsid w:val="003246C0"/>
    <w:rsid w:val="00326E2F"/>
    <w:rsid w:val="0034548C"/>
    <w:rsid w:val="003514CF"/>
    <w:rsid w:val="00364BDF"/>
    <w:rsid w:val="003724BB"/>
    <w:rsid w:val="00385B66"/>
    <w:rsid w:val="0039352F"/>
    <w:rsid w:val="003B3147"/>
    <w:rsid w:val="003F71AD"/>
    <w:rsid w:val="00432098"/>
    <w:rsid w:val="00432804"/>
    <w:rsid w:val="0043569F"/>
    <w:rsid w:val="00435FD8"/>
    <w:rsid w:val="00445899"/>
    <w:rsid w:val="00450368"/>
    <w:rsid w:val="004609ED"/>
    <w:rsid w:val="0046626D"/>
    <w:rsid w:val="00467505"/>
    <w:rsid w:val="0047170E"/>
    <w:rsid w:val="00474959"/>
    <w:rsid w:val="00491E55"/>
    <w:rsid w:val="004A403E"/>
    <w:rsid w:val="004B43F0"/>
    <w:rsid w:val="004D45DF"/>
    <w:rsid w:val="004F003F"/>
    <w:rsid w:val="004F3AC2"/>
    <w:rsid w:val="005007BA"/>
    <w:rsid w:val="00515CE9"/>
    <w:rsid w:val="0051701B"/>
    <w:rsid w:val="00517FD7"/>
    <w:rsid w:val="00522A83"/>
    <w:rsid w:val="00526E68"/>
    <w:rsid w:val="00534A17"/>
    <w:rsid w:val="0054271F"/>
    <w:rsid w:val="005464CC"/>
    <w:rsid w:val="00570C3B"/>
    <w:rsid w:val="0058424F"/>
    <w:rsid w:val="00595A99"/>
    <w:rsid w:val="005A4F35"/>
    <w:rsid w:val="005B4ADA"/>
    <w:rsid w:val="005B730B"/>
    <w:rsid w:val="005C3E72"/>
    <w:rsid w:val="005C48D4"/>
    <w:rsid w:val="005D2592"/>
    <w:rsid w:val="005E0748"/>
    <w:rsid w:val="005E26F0"/>
    <w:rsid w:val="00636590"/>
    <w:rsid w:val="00656243"/>
    <w:rsid w:val="00656C2B"/>
    <w:rsid w:val="00663588"/>
    <w:rsid w:val="0068586D"/>
    <w:rsid w:val="006935F8"/>
    <w:rsid w:val="006A112A"/>
    <w:rsid w:val="006A22F8"/>
    <w:rsid w:val="006C2979"/>
    <w:rsid w:val="006E73CC"/>
    <w:rsid w:val="006F5C9E"/>
    <w:rsid w:val="0070241F"/>
    <w:rsid w:val="00705812"/>
    <w:rsid w:val="00731EAB"/>
    <w:rsid w:val="00735FC6"/>
    <w:rsid w:val="00736479"/>
    <w:rsid w:val="00745059"/>
    <w:rsid w:val="00752BCF"/>
    <w:rsid w:val="00754A5B"/>
    <w:rsid w:val="00777BAC"/>
    <w:rsid w:val="007807A0"/>
    <w:rsid w:val="0078417B"/>
    <w:rsid w:val="007928B2"/>
    <w:rsid w:val="00796D16"/>
    <w:rsid w:val="007A1D07"/>
    <w:rsid w:val="007A5F52"/>
    <w:rsid w:val="007E6722"/>
    <w:rsid w:val="007F7FE0"/>
    <w:rsid w:val="008116F2"/>
    <w:rsid w:val="0082557A"/>
    <w:rsid w:val="008260D5"/>
    <w:rsid w:val="0084209E"/>
    <w:rsid w:val="00860616"/>
    <w:rsid w:val="008649E2"/>
    <w:rsid w:val="008845A9"/>
    <w:rsid w:val="00884B29"/>
    <w:rsid w:val="00893CF0"/>
    <w:rsid w:val="008972E8"/>
    <w:rsid w:val="008A00F5"/>
    <w:rsid w:val="008A1AFB"/>
    <w:rsid w:val="008A389C"/>
    <w:rsid w:val="008B76A6"/>
    <w:rsid w:val="008C132E"/>
    <w:rsid w:val="008E20E7"/>
    <w:rsid w:val="00912BFA"/>
    <w:rsid w:val="009141DD"/>
    <w:rsid w:val="00924A0E"/>
    <w:rsid w:val="00932D39"/>
    <w:rsid w:val="00935E9E"/>
    <w:rsid w:val="00941188"/>
    <w:rsid w:val="009463CB"/>
    <w:rsid w:val="00950757"/>
    <w:rsid w:val="0095699B"/>
    <w:rsid w:val="0096066E"/>
    <w:rsid w:val="009979EC"/>
    <w:rsid w:val="009A2387"/>
    <w:rsid w:val="009B04E5"/>
    <w:rsid w:val="009B6771"/>
    <w:rsid w:val="009C7E30"/>
    <w:rsid w:val="009E411B"/>
    <w:rsid w:val="009F2AA4"/>
    <w:rsid w:val="009F4BD4"/>
    <w:rsid w:val="00A1747B"/>
    <w:rsid w:val="00A2384F"/>
    <w:rsid w:val="00A366AA"/>
    <w:rsid w:val="00A60B9D"/>
    <w:rsid w:val="00A6457A"/>
    <w:rsid w:val="00A66B5E"/>
    <w:rsid w:val="00A805BD"/>
    <w:rsid w:val="00AA125E"/>
    <w:rsid w:val="00AA542B"/>
    <w:rsid w:val="00AB11E7"/>
    <w:rsid w:val="00AB5D10"/>
    <w:rsid w:val="00AD701D"/>
    <w:rsid w:val="00AD721E"/>
    <w:rsid w:val="00AE63A6"/>
    <w:rsid w:val="00B038CA"/>
    <w:rsid w:val="00B10303"/>
    <w:rsid w:val="00B13A23"/>
    <w:rsid w:val="00B54F49"/>
    <w:rsid w:val="00B63D34"/>
    <w:rsid w:val="00B65949"/>
    <w:rsid w:val="00B74458"/>
    <w:rsid w:val="00BA3BB9"/>
    <w:rsid w:val="00BA5491"/>
    <w:rsid w:val="00BC0E57"/>
    <w:rsid w:val="00BD0457"/>
    <w:rsid w:val="00BD693A"/>
    <w:rsid w:val="00C00FFA"/>
    <w:rsid w:val="00C04B4C"/>
    <w:rsid w:val="00C0515E"/>
    <w:rsid w:val="00C340D6"/>
    <w:rsid w:val="00C36559"/>
    <w:rsid w:val="00C43E21"/>
    <w:rsid w:val="00C478AC"/>
    <w:rsid w:val="00C52DF8"/>
    <w:rsid w:val="00C53F76"/>
    <w:rsid w:val="00C54603"/>
    <w:rsid w:val="00C61820"/>
    <w:rsid w:val="00C64ABB"/>
    <w:rsid w:val="00C7274C"/>
    <w:rsid w:val="00C8301F"/>
    <w:rsid w:val="00C846A4"/>
    <w:rsid w:val="00CA142C"/>
    <w:rsid w:val="00CB3C2C"/>
    <w:rsid w:val="00CD69B1"/>
    <w:rsid w:val="00CE565D"/>
    <w:rsid w:val="00D030D3"/>
    <w:rsid w:val="00D174B1"/>
    <w:rsid w:val="00D34608"/>
    <w:rsid w:val="00D34D77"/>
    <w:rsid w:val="00D36159"/>
    <w:rsid w:val="00D36B35"/>
    <w:rsid w:val="00D42C2C"/>
    <w:rsid w:val="00D67258"/>
    <w:rsid w:val="00D9789C"/>
    <w:rsid w:val="00DA2073"/>
    <w:rsid w:val="00DA3F9D"/>
    <w:rsid w:val="00DA4EB4"/>
    <w:rsid w:val="00DB38DD"/>
    <w:rsid w:val="00DE30F3"/>
    <w:rsid w:val="00DF397F"/>
    <w:rsid w:val="00E04D4B"/>
    <w:rsid w:val="00E050DD"/>
    <w:rsid w:val="00E149C2"/>
    <w:rsid w:val="00E16824"/>
    <w:rsid w:val="00E364B4"/>
    <w:rsid w:val="00E53105"/>
    <w:rsid w:val="00E62E44"/>
    <w:rsid w:val="00E63DDC"/>
    <w:rsid w:val="00E77035"/>
    <w:rsid w:val="00E77DBA"/>
    <w:rsid w:val="00E95BC8"/>
    <w:rsid w:val="00EA7719"/>
    <w:rsid w:val="00EB00A4"/>
    <w:rsid w:val="00EB35E0"/>
    <w:rsid w:val="00EB626D"/>
    <w:rsid w:val="00EB74A4"/>
    <w:rsid w:val="00EE0114"/>
    <w:rsid w:val="00EE0272"/>
    <w:rsid w:val="00EF6E68"/>
    <w:rsid w:val="00F010B9"/>
    <w:rsid w:val="00F44938"/>
    <w:rsid w:val="00F52E25"/>
    <w:rsid w:val="00F56FE1"/>
    <w:rsid w:val="00F71D0A"/>
    <w:rsid w:val="00F7218F"/>
    <w:rsid w:val="00F85D19"/>
    <w:rsid w:val="00FD061F"/>
    <w:rsid w:val="00FD2520"/>
    <w:rsid w:val="00FD7626"/>
    <w:rsid w:val="00FE1E4D"/>
    <w:rsid w:val="2147407D"/>
    <w:rsid w:val="3D53C4F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uiPriority w:val="9"/>
    <w:qFormat/>
    <w:rsid w:val="00AA12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A12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basedOn w:val="Normalny"/>
    <w:link w:val="TekstprzypisudolnegoZnak"/>
    <w:uiPriority w:val="99"/>
    <w:semiHidden/>
    <w:unhideWhenUsed/>
    <w:rsid w:val="00DB3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character" w:customStyle="1" w:styleId="AkapitzlistZnak">
    <w:name w:val="Akapit z listą Znak"/>
    <w:aliases w:val="Numerowanie Znak,Wykres Znak,Akapit z listą1 Znak"/>
    <w:link w:val="Akapitzlist"/>
    <w:uiPriority w:val="34"/>
    <w:qFormat/>
    <w:locked/>
    <w:rsid w:val="00285A8C"/>
    <w:rPr>
      <w:rFonts w:ascii="Calibri" w:eastAsia="Times New Roman" w:hAnsi="Calibri" w:cs="Times New Roman"/>
    </w:rPr>
  </w:style>
  <w:style w:type="paragraph" w:customStyle="1" w:styleId="Default">
    <w:name w:val="Default"/>
    <w:rsid w:val="008B76A6"/>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uiPriority w:val="9"/>
    <w:rsid w:val="00AA125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A125E"/>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59"/>
    <w:rsid w:val="0021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78303">
      <w:bodyDiv w:val="1"/>
      <w:marLeft w:val="0"/>
      <w:marRight w:val="0"/>
      <w:marTop w:val="0"/>
      <w:marBottom w:val="0"/>
      <w:divBdr>
        <w:top w:val="none" w:sz="0" w:space="0" w:color="auto"/>
        <w:left w:val="none" w:sz="0" w:space="0" w:color="auto"/>
        <w:bottom w:val="none" w:sz="0" w:space="0" w:color="auto"/>
        <w:right w:val="none" w:sz="0" w:space="0" w:color="auto"/>
      </w:divBdr>
    </w:div>
    <w:div w:id="99179029">
      <w:bodyDiv w:val="1"/>
      <w:marLeft w:val="0"/>
      <w:marRight w:val="0"/>
      <w:marTop w:val="0"/>
      <w:marBottom w:val="0"/>
      <w:divBdr>
        <w:top w:val="none" w:sz="0" w:space="0" w:color="auto"/>
        <w:left w:val="none" w:sz="0" w:space="0" w:color="auto"/>
        <w:bottom w:val="none" w:sz="0" w:space="0" w:color="auto"/>
        <w:right w:val="none" w:sz="0" w:space="0" w:color="auto"/>
      </w:divBdr>
    </w:div>
    <w:div w:id="267204763">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11708070">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556356851">
      <w:bodyDiv w:val="1"/>
      <w:marLeft w:val="0"/>
      <w:marRight w:val="0"/>
      <w:marTop w:val="0"/>
      <w:marBottom w:val="0"/>
      <w:divBdr>
        <w:top w:val="none" w:sz="0" w:space="0" w:color="auto"/>
        <w:left w:val="none" w:sz="0" w:space="0" w:color="auto"/>
        <w:bottom w:val="none" w:sz="0" w:space="0" w:color="auto"/>
        <w:right w:val="none" w:sz="0" w:space="0" w:color="auto"/>
      </w:divBdr>
    </w:div>
    <w:div w:id="760444272">
      <w:bodyDiv w:val="1"/>
      <w:marLeft w:val="0"/>
      <w:marRight w:val="0"/>
      <w:marTop w:val="0"/>
      <w:marBottom w:val="0"/>
      <w:divBdr>
        <w:top w:val="none" w:sz="0" w:space="0" w:color="auto"/>
        <w:left w:val="none" w:sz="0" w:space="0" w:color="auto"/>
        <w:bottom w:val="none" w:sz="0" w:space="0" w:color="auto"/>
        <w:right w:val="none" w:sz="0" w:space="0" w:color="auto"/>
      </w:divBdr>
    </w:div>
    <w:div w:id="794175244">
      <w:bodyDiv w:val="1"/>
      <w:marLeft w:val="0"/>
      <w:marRight w:val="0"/>
      <w:marTop w:val="0"/>
      <w:marBottom w:val="0"/>
      <w:divBdr>
        <w:top w:val="none" w:sz="0" w:space="0" w:color="auto"/>
        <w:left w:val="none" w:sz="0" w:space="0" w:color="auto"/>
        <w:bottom w:val="none" w:sz="0" w:space="0" w:color="auto"/>
        <w:right w:val="none" w:sz="0" w:space="0" w:color="auto"/>
      </w:divBdr>
    </w:div>
    <w:div w:id="865483377">
      <w:bodyDiv w:val="1"/>
      <w:marLeft w:val="0"/>
      <w:marRight w:val="0"/>
      <w:marTop w:val="0"/>
      <w:marBottom w:val="0"/>
      <w:divBdr>
        <w:top w:val="none" w:sz="0" w:space="0" w:color="auto"/>
        <w:left w:val="none" w:sz="0" w:space="0" w:color="auto"/>
        <w:bottom w:val="none" w:sz="0" w:space="0" w:color="auto"/>
        <w:right w:val="none" w:sz="0" w:space="0" w:color="auto"/>
      </w:divBdr>
    </w:div>
    <w:div w:id="1040083174">
      <w:bodyDiv w:val="1"/>
      <w:marLeft w:val="0"/>
      <w:marRight w:val="0"/>
      <w:marTop w:val="0"/>
      <w:marBottom w:val="0"/>
      <w:divBdr>
        <w:top w:val="none" w:sz="0" w:space="0" w:color="auto"/>
        <w:left w:val="none" w:sz="0" w:space="0" w:color="auto"/>
        <w:bottom w:val="none" w:sz="0" w:space="0" w:color="auto"/>
        <w:right w:val="none" w:sz="0" w:space="0" w:color="auto"/>
      </w:divBdr>
    </w:div>
    <w:div w:id="1310136390">
      <w:bodyDiv w:val="1"/>
      <w:marLeft w:val="0"/>
      <w:marRight w:val="0"/>
      <w:marTop w:val="0"/>
      <w:marBottom w:val="0"/>
      <w:divBdr>
        <w:top w:val="none" w:sz="0" w:space="0" w:color="auto"/>
        <w:left w:val="none" w:sz="0" w:space="0" w:color="auto"/>
        <w:bottom w:val="none" w:sz="0" w:space="0" w:color="auto"/>
        <w:right w:val="none" w:sz="0" w:space="0" w:color="auto"/>
      </w:divBdr>
    </w:div>
    <w:div w:id="1356812205">
      <w:bodyDiv w:val="1"/>
      <w:marLeft w:val="0"/>
      <w:marRight w:val="0"/>
      <w:marTop w:val="0"/>
      <w:marBottom w:val="0"/>
      <w:divBdr>
        <w:top w:val="none" w:sz="0" w:space="0" w:color="auto"/>
        <w:left w:val="none" w:sz="0" w:space="0" w:color="auto"/>
        <w:bottom w:val="none" w:sz="0" w:space="0" w:color="auto"/>
        <w:right w:val="none" w:sz="0" w:space="0" w:color="auto"/>
      </w:divBdr>
    </w:div>
    <w:div w:id="1636763253">
      <w:bodyDiv w:val="1"/>
      <w:marLeft w:val="0"/>
      <w:marRight w:val="0"/>
      <w:marTop w:val="0"/>
      <w:marBottom w:val="0"/>
      <w:divBdr>
        <w:top w:val="none" w:sz="0" w:space="0" w:color="auto"/>
        <w:left w:val="none" w:sz="0" w:space="0" w:color="auto"/>
        <w:bottom w:val="none" w:sz="0" w:space="0" w:color="auto"/>
        <w:right w:val="none" w:sz="0" w:space="0" w:color="auto"/>
      </w:divBdr>
    </w:div>
    <w:div w:id="1644193911">
      <w:bodyDiv w:val="1"/>
      <w:marLeft w:val="0"/>
      <w:marRight w:val="0"/>
      <w:marTop w:val="0"/>
      <w:marBottom w:val="0"/>
      <w:divBdr>
        <w:top w:val="none" w:sz="0" w:space="0" w:color="auto"/>
        <w:left w:val="none" w:sz="0" w:space="0" w:color="auto"/>
        <w:bottom w:val="none" w:sz="0" w:space="0" w:color="auto"/>
        <w:right w:val="none" w:sz="0" w:space="0" w:color="auto"/>
      </w:divBdr>
    </w:div>
    <w:div w:id="1667635173">
      <w:bodyDiv w:val="1"/>
      <w:marLeft w:val="0"/>
      <w:marRight w:val="0"/>
      <w:marTop w:val="0"/>
      <w:marBottom w:val="0"/>
      <w:divBdr>
        <w:top w:val="none" w:sz="0" w:space="0" w:color="auto"/>
        <w:left w:val="none" w:sz="0" w:space="0" w:color="auto"/>
        <w:bottom w:val="none" w:sz="0" w:space="0" w:color="auto"/>
        <w:right w:val="none" w:sz="0" w:space="0" w:color="auto"/>
      </w:divBdr>
    </w:div>
    <w:div w:id="1909225213">
      <w:bodyDiv w:val="1"/>
      <w:marLeft w:val="0"/>
      <w:marRight w:val="0"/>
      <w:marTop w:val="0"/>
      <w:marBottom w:val="0"/>
      <w:divBdr>
        <w:top w:val="none" w:sz="0" w:space="0" w:color="auto"/>
        <w:left w:val="none" w:sz="0" w:space="0" w:color="auto"/>
        <w:bottom w:val="none" w:sz="0" w:space="0" w:color="auto"/>
        <w:right w:val="none" w:sz="0" w:space="0" w:color="auto"/>
      </w:divBdr>
    </w:div>
    <w:div w:id="1922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CF0A-C8CF-4FED-8531-A960408A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3040</Words>
  <Characters>18243</Characters>
  <Application>Microsoft Office Word</Application>
  <DocSecurity>4</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2024-09-11T07:35:00Z</dcterms:created>
  <dcterms:modified xsi:type="dcterms:W3CDTF">2024-09-11T07:35:00Z</dcterms:modified>
</cp:coreProperties>
</file>