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139FA" w14:textId="77777777" w:rsidR="00CB6FEE" w:rsidRDefault="00CB6FEE" w:rsidP="00CB6FEE">
      <w:pPr>
        <w:keepNext/>
        <w:spacing w:after="0" w:line="240" w:lineRule="auto"/>
        <w:ind w:firstLine="442"/>
        <w:jc w:val="right"/>
        <w:outlineLvl w:val="0"/>
        <w:rPr>
          <w:rFonts w:ascii="Calibri" w:eastAsia="Times New Roman" w:hAnsi="Calibri" w:cs="Times New Roman"/>
          <w:sz w:val="20"/>
          <w:szCs w:val="20"/>
          <w:lang w:eastAsia="pl-PL"/>
        </w:rPr>
      </w:pPr>
    </w:p>
    <w:p w14:paraId="68EC52C4" w14:textId="1184A3EB" w:rsidR="00C763F0" w:rsidRPr="00CB6FEE" w:rsidRDefault="00C763F0" w:rsidP="00CB6FEE">
      <w:pPr>
        <w:keepNext/>
        <w:spacing w:after="0" w:line="240" w:lineRule="auto"/>
        <w:ind w:firstLine="442"/>
        <w:jc w:val="right"/>
        <w:outlineLvl w:val="0"/>
        <w:rPr>
          <w:rFonts w:ascii="Calibri" w:eastAsia="Times New Roman" w:hAnsi="Calibri" w:cs="Times New Roman"/>
          <w:sz w:val="20"/>
          <w:szCs w:val="20"/>
          <w:lang w:eastAsia="pl-PL"/>
        </w:rPr>
      </w:pPr>
      <w:r w:rsidRPr="00CB6FEE">
        <w:rPr>
          <w:rFonts w:ascii="Calibri" w:eastAsia="Times New Roman" w:hAnsi="Calibri" w:cs="Times New Roman"/>
          <w:sz w:val="20"/>
          <w:szCs w:val="20"/>
          <w:lang w:eastAsia="pl-PL"/>
        </w:rPr>
        <w:t xml:space="preserve">Załącznik </w:t>
      </w:r>
      <w:r w:rsidR="004813C3" w:rsidRPr="00CB6FEE">
        <w:rPr>
          <w:rFonts w:ascii="Calibri" w:eastAsia="Times New Roman" w:hAnsi="Calibri" w:cs="Times New Roman"/>
          <w:sz w:val="20"/>
          <w:szCs w:val="20"/>
          <w:lang w:eastAsia="pl-PL"/>
        </w:rPr>
        <w:t>4</w:t>
      </w:r>
      <w:r w:rsidR="00CB6FEE">
        <w:rPr>
          <w:rFonts w:ascii="Calibri" w:eastAsia="Times New Roman" w:hAnsi="Calibri" w:cs="Times New Roman"/>
          <w:sz w:val="20"/>
          <w:szCs w:val="20"/>
          <w:lang w:eastAsia="pl-PL"/>
        </w:rPr>
        <w:t xml:space="preserve"> do Regulaminu </w:t>
      </w:r>
    </w:p>
    <w:p w14:paraId="6A63C3C8" w14:textId="77777777" w:rsidR="00C763F0" w:rsidRDefault="00C763F0" w:rsidP="005B6980">
      <w:pPr>
        <w:autoSpaceDE w:val="0"/>
        <w:autoSpaceDN w:val="0"/>
        <w:adjustRightInd w:val="0"/>
        <w:spacing w:after="0" w:line="240" w:lineRule="auto"/>
        <w:jc w:val="both"/>
        <w:rPr>
          <w:rFonts w:ascii="Calibri,Bold" w:hAnsi="Calibri,Bold" w:cs="Calibri,Bold"/>
          <w:b/>
          <w:bCs/>
          <w:sz w:val="28"/>
          <w:szCs w:val="28"/>
        </w:rPr>
      </w:pPr>
    </w:p>
    <w:p w14:paraId="05E80584" w14:textId="3B989DD9" w:rsidR="005B6980" w:rsidRPr="00CB6FEE" w:rsidRDefault="00C763F0" w:rsidP="00CB6FEE">
      <w:pPr>
        <w:spacing w:after="0" w:line="240" w:lineRule="auto"/>
        <w:jc w:val="center"/>
        <w:rPr>
          <w:rFonts w:ascii="Calibri" w:eastAsia="Times New Roman" w:hAnsi="Calibri" w:cs="Times New Roman"/>
          <w:b/>
          <w:lang w:eastAsia="pl-PL"/>
        </w:rPr>
      </w:pPr>
      <w:r w:rsidRPr="00CB6FEE">
        <w:rPr>
          <w:rFonts w:ascii="Calibri" w:eastAsia="Times New Roman" w:hAnsi="Calibri" w:cs="Times New Roman"/>
          <w:b/>
          <w:lang w:eastAsia="pl-PL"/>
        </w:rPr>
        <w:t>KRYTERIUM PODMIOTOWE OKREŚLENIE WIELKOŚCI PRZEDSIĘBIORSTWA:</w:t>
      </w:r>
    </w:p>
    <w:p w14:paraId="4C3C9BA7" w14:textId="77777777" w:rsidR="005B6980" w:rsidRDefault="005B6980" w:rsidP="005B6980">
      <w:pPr>
        <w:autoSpaceDE w:val="0"/>
        <w:autoSpaceDN w:val="0"/>
        <w:adjustRightInd w:val="0"/>
        <w:spacing w:after="0" w:line="240" w:lineRule="auto"/>
        <w:jc w:val="both"/>
        <w:rPr>
          <w:rFonts w:ascii="Calibri,Bold" w:hAnsi="Calibri,Bold" w:cs="Calibri,Bold"/>
          <w:b/>
          <w:bCs/>
          <w:sz w:val="28"/>
          <w:szCs w:val="28"/>
        </w:rPr>
      </w:pPr>
    </w:p>
    <w:p w14:paraId="667D999A" w14:textId="68F10C9A"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 xml:space="preserve">Wnioskodawca wypełnia oświadczenie, w którym zaznacza czy na dzień złożenia </w:t>
      </w:r>
      <w:bookmarkStart w:id="0" w:name="_Hlk527709251"/>
      <w:r w:rsidR="00E853E6" w:rsidRPr="007C296E">
        <w:rPr>
          <w:rFonts w:ascii="Calibri" w:hAnsi="Calibri" w:cs="Calibri"/>
        </w:rPr>
        <w:t>formularza zgłoszeniowego dla MSP</w:t>
      </w:r>
      <w:r w:rsidR="00E853E6">
        <w:rPr>
          <w:rFonts w:ascii="Calibri" w:hAnsi="Calibri" w:cs="Calibri"/>
        </w:rPr>
        <w:t xml:space="preserve"> </w:t>
      </w:r>
      <w:bookmarkEnd w:id="0"/>
      <w:r>
        <w:rPr>
          <w:rFonts w:ascii="Calibri" w:hAnsi="Calibri" w:cs="Calibri"/>
        </w:rPr>
        <w:t>spełnia kryteria w zakresie zakwalifikowania podmiotu do mikro, małego, średniego bądź dużego przedsiębiorstwa, a także czy jest przedsiębiorstwem samodzielnym, partnerskim lub powiązanym.</w:t>
      </w:r>
    </w:p>
    <w:p w14:paraId="2A2A0B26" w14:textId="77777777" w:rsidR="005B6980" w:rsidRDefault="005B6980" w:rsidP="005B6980">
      <w:pPr>
        <w:autoSpaceDE w:val="0"/>
        <w:autoSpaceDN w:val="0"/>
        <w:adjustRightInd w:val="0"/>
        <w:spacing w:after="0" w:line="240" w:lineRule="auto"/>
        <w:jc w:val="both"/>
        <w:rPr>
          <w:rFonts w:ascii="Calibri" w:hAnsi="Calibri" w:cs="Calibri"/>
        </w:rPr>
      </w:pPr>
    </w:p>
    <w:p w14:paraId="4E8B3AC9" w14:textId="77777777" w:rsidR="00C763F0" w:rsidRDefault="00C763F0" w:rsidP="005B6980">
      <w:pPr>
        <w:autoSpaceDE w:val="0"/>
        <w:autoSpaceDN w:val="0"/>
        <w:adjustRightInd w:val="0"/>
        <w:spacing w:after="0" w:line="240" w:lineRule="auto"/>
        <w:jc w:val="both"/>
        <w:rPr>
          <w:rFonts w:ascii="Calibri,Bold" w:hAnsi="Calibri,Bold" w:cs="Calibri,Bold"/>
          <w:b/>
          <w:bCs/>
        </w:rPr>
      </w:pPr>
    </w:p>
    <w:p w14:paraId="11985423" w14:textId="7940ABAD" w:rsidR="00C763F0" w:rsidRDefault="00C763F0" w:rsidP="00C763F0">
      <w:pPr>
        <w:numPr>
          <w:ilvl w:val="0"/>
          <w:numId w:val="1"/>
        </w:numPr>
        <w:tabs>
          <w:tab w:val="num" w:pos="360"/>
        </w:tabs>
        <w:suppressAutoHyphens/>
        <w:spacing w:after="0" w:line="26" w:lineRule="atLeast"/>
        <w:ind w:left="360"/>
        <w:jc w:val="both"/>
        <w:rPr>
          <w:rFonts w:eastAsia="Times New Roman"/>
        </w:rPr>
      </w:pPr>
      <w:r>
        <w:rPr>
          <w:rFonts w:eastAsia="Times New Roman"/>
          <w:b/>
        </w:rPr>
        <w:t>Mikroprzedsiębiorstwa</w:t>
      </w:r>
      <w:r>
        <w:rPr>
          <w:rFonts w:eastAsia="Times New Roman"/>
        </w:rPr>
        <w:t xml:space="preserve"> – mikroprzedsiębiorstwo to przedsiębiorstwo, które:</w:t>
      </w:r>
      <w:r>
        <w:rPr>
          <w:rFonts w:eastAsia="Times New Roman"/>
        </w:rPr>
        <w:tab/>
      </w:r>
      <w:r>
        <w:rPr>
          <w:rFonts w:eastAsia="Times New Roman"/>
        </w:rPr>
        <w:tab/>
      </w:r>
    </w:p>
    <w:p w14:paraId="1BE08B3F" w14:textId="77777777" w:rsidR="00C763F0" w:rsidRDefault="00C763F0" w:rsidP="00C763F0">
      <w:pPr>
        <w:numPr>
          <w:ilvl w:val="0"/>
          <w:numId w:val="2"/>
        </w:numPr>
        <w:tabs>
          <w:tab w:val="num" w:pos="360"/>
        </w:tabs>
        <w:suppressAutoHyphens/>
        <w:spacing w:after="0" w:line="26" w:lineRule="atLeast"/>
        <w:ind w:left="360"/>
        <w:jc w:val="both"/>
        <w:rPr>
          <w:rFonts w:eastAsia="Times New Roman"/>
        </w:rPr>
      </w:pPr>
      <w:r>
        <w:rPr>
          <w:rFonts w:eastAsia="Times New Roman"/>
        </w:rPr>
        <w:t>zatrudnia mniej niż 10 pracowników;</w:t>
      </w:r>
    </w:p>
    <w:p w14:paraId="104AC323" w14:textId="77777777" w:rsidR="00C763F0" w:rsidRDefault="00C763F0" w:rsidP="00C763F0">
      <w:pPr>
        <w:numPr>
          <w:ilvl w:val="0"/>
          <w:numId w:val="2"/>
        </w:numPr>
        <w:tabs>
          <w:tab w:val="num" w:pos="360"/>
        </w:tabs>
        <w:suppressAutoHyphens/>
        <w:spacing w:after="0" w:line="26" w:lineRule="atLeast"/>
        <w:ind w:left="360"/>
        <w:jc w:val="both"/>
        <w:rPr>
          <w:rFonts w:eastAsia="Times New Roman"/>
        </w:rPr>
      </w:pPr>
      <w:r>
        <w:rPr>
          <w:rFonts w:eastAsia="Times New Roman"/>
        </w:rPr>
        <w:t xml:space="preserve">jego roczny obrót nie przekracza 2 milionów euro i/lub roczna suma bilansowa nie przekracza </w:t>
      </w:r>
      <w:r>
        <w:rPr>
          <w:rFonts w:eastAsia="Times New Roman"/>
        </w:rPr>
        <w:br/>
        <w:t>2 milionów euro</w:t>
      </w:r>
    </w:p>
    <w:p w14:paraId="1F2CC1A0" w14:textId="41070515" w:rsidR="00C763F0" w:rsidRDefault="00C763F0" w:rsidP="00C763F0">
      <w:pPr>
        <w:numPr>
          <w:ilvl w:val="0"/>
          <w:numId w:val="3"/>
        </w:numPr>
        <w:tabs>
          <w:tab w:val="num" w:pos="360"/>
        </w:tabs>
        <w:suppressAutoHyphens/>
        <w:spacing w:after="0" w:line="26" w:lineRule="atLeast"/>
        <w:ind w:left="360"/>
        <w:jc w:val="both"/>
        <w:rPr>
          <w:rFonts w:eastAsia="Times New Roman"/>
          <w:b/>
        </w:rPr>
      </w:pPr>
      <w:r>
        <w:rPr>
          <w:rFonts w:eastAsia="Times New Roman"/>
          <w:b/>
        </w:rPr>
        <w:t>Małym przedsiębiorstwa</w:t>
      </w:r>
      <w:r>
        <w:rPr>
          <w:rFonts w:eastAsia="Times New Roman"/>
        </w:rPr>
        <w:t xml:space="preserve"> – małe przedsiębiorstwo to przedsiębiorstwo, które:</w:t>
      </w:r>
    </w:p>
    <w:p w14:paraId="130CDB8A" w14:textId="77777777" w:rsidR="00C763F0" w:rsidRDefault="00C763F0" w:rsidP="00C763F0">
      <w:pPr>
        <w:numPr>
          <w:ilvl w:val="0"/>
          <w:numId w:val="4"/>
        </w:numPr>
        <w:tabs>
          <w:tab w:val="num" w:pos="360"/>
        </w:tabs>
        <w:suppressAutoHyphens/>
        <w:spacing w:after="0" w:line="26" w:lineRule="atLeast"/>
        <w:ind w:left="360"/>
        <w:jc w:val="both"/>
        <w:rPr>
          <w:rFonts w:eastAsia="Times New Roman"/>
        </w:rPr>
      </w:pPr>
      <w:r>
        <w:rPr>
          <w:rFonts w:eastAsia="Times New Roman"/>
        </w:rPr>
        <w:t>zatrudnia mniej niż 50 pracowników;</w:t>
      </w:r>
    </w:p>
    <w:p w14:paraId="6F4EEA63" w14:textId="77777777" w:rsidR="00C763F0" w:rsidRDefault="00C763F0" w:rsidP="00C763F0">
      <w:pPr>
        <w:numPr>
          <w:ilvl w:val="0"/>
          <w:numId w:val="4"/>
        </w:numPr>
        <w:tabs>
          <w:tab w:val="num" w:pos="360"/>
        </w:tabs>
        <w:suppressAutoHyphens/>
        <w:spacing w:after="0" w:line="26" w:lineRule="atLeast"/>
        <w:ind w:left="360"/>
        <w:jc w:val="both"/>
        <w:rPr>
          <w:rFonts w:eastAsia="Times New Roman"/>
        </w:rPr>
      </w:pPr>
      <w:r>
        <w:rPr>
          <w:rFonts w:eastAsia="Times New Roman"/>
        </w:rPr>
        <w:t xml:space="preserve">jego roczny obrót nie przekracza 10 milionów euro i/lub roczna suma bilansowa nie przekracza </w:t>
      </w:r>
      <w:r>
        <w:rPr>
          <w:rFonts w:eastAsia="Times New Roman"/>
        </w:rPr>
        <w:br/>
        <w:t>10 milionów euro</w:t>
      </w:r>
    </w:p>
    <w:p w14:paraId="4182CD14" w14:textId="455ACC92" w:rsidR="00C763F0" w:rsidRDefault="00C763F0" w:rsidP="00C763F0">
      <w:pPr>
        <w:numPr>
          <w:ilvl w:val="0"/>
          <w:numId w:val="5"/>
        </w:numPr>
        <w:tabs>
          <w:tab w:val="num" w:pos="360"/>
        </w:tabs>
        <w:suppressAutoHyphens/>
        <w:spacing w:after="0" w:line="26" w:lineRule="atLeast"/>
        <w:ind w:left="360"/>
        <w:jc w:val="both"/>
        <w:rPr>
          <w:rFonts w:eastAsia="Times New Roman"/>
        </w:rPr>
      </w:pPr>
      <w:r>
        <w:rPr>
          <w:rFonts w:eastAsia="Times New Roman"/>
          <w:b/>
        </w:rPr>
        <w:t xml:space="preserve">Średnim przedsiębiorstwa – </w:t>
      </w:r>
      <w:r>
        <w:rPr>
          <w:rFonts w:eastAsia="Times New Roman"/>
        </w:rPr>
        <w:t xml:space="preserve">średnie przedsiębiorstwo to przedsiębiorstwo, które: </w:t>
      </w:r>
    </w:p>
    <w:p w14:paraId="52024E82" w14:textId="77777777" w:rsidR="00C763F0" w:rsidRDefault="00C763F0" w:rsidP="00C763F0">
      <w:pPr>
        <w:numPr>
          <w:ilvl w:val="0"/>
          <w:numId w:val="6"/>
        </w:numPr>
        <w:tabs>
          <w:tab w:val="num" w:pos="360"/>
        </w:tabs>
        <w:suppressAutoHyphens/>
        <w:spacing w:after="0" w:line="26" w:lineRule="atLeast"/>
        <w:jc w:val="both"/>
        <w:rPr>
          <w:rFonts w:eastAsia="Times New Roman"/>
        </w:rPr>
      </w:pPr>
      <w:r>
        <w:rPr>
          <w:rFonts w:eastAsia="Times New Roman"/>
        </w:rPr>
        <w:t>zatrudnia mniej niż 250 pracowników;</w:t>
      </w:r>
    </w:p>
    <w:p w14:paraId="3D8AADB0" w14:textId="77777777" w:rsidR="00C763F0" w:rsidRDefault="00C763F0" w:rsidP="00C763F0">
      <w:pPr>
        <w:numPr>
          <w:ilvl w:val="0"/>
          <w:numId w:val="6"/>
        </w:numPr>
        <w:tabs>
          <w:tab w:val="num" w:pos="360"/>
        </w:tabs>
        <w:suppressAutoHyphens/>
        <w:spacing w:after="0" w:line="26" w:lineRule="atLeast"/>
        <w:jc w:val="both"/>
        <w:rPr>
          <w:rFonts w:eastAsia="Times New Roman"/>
        </w:rPr>
      </w:pPr>
      <w:r>
        <w:rPr>
          <w:rFonts w:eastAsia="Times New Roman"/>
        </w:rPr>
        <w:t xml:space="preserve">jego roczny obrót nie przekracza 50 milionów euro a/lub roczna suma bilansowa nie przekracza </w:t>
      </w:r>
      <w:r>
        <w:rPr>
          <w:rFonts w:eastAsia="Times New Roman"/>
        </w:rPr>
        <w:br/>
        <w:t>43 milionów euro</w:t>
      </w:r>
    </w:p>
    <w:p w14:paraId="0C361853" w14:textId="4766E3FE" w:rsidR="00C763F0" w:rsidRDefault="00C763F0" w:rsidP="00C763F0">
      <w:pPr>
        <w:numPr>
          <w:ilvl w:val="0"/>
          <w:numId w:val="5"/>
        </w:numPr>
        <w:tabs>
          <w:tab w:val="num" w:pos="360"/>
        </w:tabs>
        <w:suppressAutoHyphens/>
        <w:spacing w:after="0" w:line="26" w:lineRule="atLeast"/>
        <w:ind w:left="360"/>
        <w:jc w:val="both"/>
        <w:rPr>
          <w:rFonts w:eastAsia="Times New Roman"/>
        </w:rPr>
      </w:pPr>
      <w:r>
        <w:rPr>
          <w:rFonts w:eastAsia="Times New Roman"/>
          <w:b/>
        </w:rPr>
        <w:t>Dużym przedsiębiorstwem</w:t>
      </w:r>
      <w:r>
        <w:rPr>
          <w:rFonts w:eastAsia="Times New Roman"/>
        </w:rPr>
        <w:t xml:space="preserve"> - duże przedsiębiorstwo to przedsiębiorstwo, które:</w:t>
      </w:r>
    </w:p>
    <w:p w14:paraId="124FE466" w14:textId="77777777" w:rsidR="00C763F0" w:rsidRDefault="00C763F0" w:rsidP="00C763F0">
      <w:pPr>
        <w:numPr>
          <w:ilvl w:val="0"/>
          <w:numId w:val="7"/>
        </w:numPr>
        <w:suppressAutoHyphens/>
        <w:spacing w:after="0" w:line="26" w:lineRule="atLeast"/>
        <w:ind w:left="426" w:hanging="426"/>
        <w:jc w:val="both"/>
        <w:rPr>
          <w:rFonts w:eastAsia="Times New Roman"/>
        </w:rPr>
      </w:pPr>
      <w:r>
        <w:rPr>
          <w:rFonts w:eastAsia="Times New Roman"/>
        </w:rPr>
        <w:t xml:space="preserve">nie spełnia kryteriów MŚP, </w:t>
      </w:r>
    </w:p>
    <w:p w14:paraId="1DF9D208" w14:textId="77777777" w:rsidR="00C763F0" w:rsidRDefault="00C763F0" w:rsidP="00C763F0">
      <w:pPr>
        <w:numPr>
          <w:ilvl w:val="0"/>
          <w:numId w:val="7"/>
        </w:numPr>
        <w:suppressAutoHyphens/>
        <w:spacing w:after="0" w:line="26" w:lineRule="atLeast"/>
        <w:ind w:left="426" w:hanging="426"/>
        <w:jc w:val="both"/>
        <w:rPr>
          <w:rFonts w:eastAsia="Times New Roman"/>
        </w:rPr>
      </w:pPr>
      <w:r>
        <w:rPr>
          <w:rFonts w:eastAsia="Times New Roman"/>
        </w:rPr>
        <w:t>25 % lub więcej kapitału lub praw głosu kontroluje bezpośrednio lub pośrednio, wspólnie lub indywidualnie, co najmniej jeden organ publiczny</w:t>
      </w:r>
    </w:p>
    <w:p w14:paraId="13FB407F" w14:textId="77777777" w:rsidR="00C763F0" w:rsidRDefault="00C763F0" w:rsidP="00C763F0">
      <w:pPr>
        <w:spacing w:after="0" w:line="26" w:lineRule="atLeast"/>
        <w:jc w:val="both"/>
        <w:rPr>
          <w:rFonts w:eastAsia="Times New Roman"/>
        </w:rPr>
      </w:pPr>
    </w:p>
    <w:p w14:paraId="28E5F578" w14:textId="77777777" w:rsidR="00C763F0" w:rsidRDefault="00C763F0" w:rsidP="00C763F0">
      <w:pPr>
        <w:spacing w:after="0" w:line="26" w:lineRule="atLeast"/>
        <w:jc w:val="both"/>
        <w:rPr>
          <w:rFonts w:eastAsia="Times New Roman"/>
        </w:rPr>
      </w:pPr>
      <w:r>
        <w:rPr>
          <w:rFonts w:eastAsia="Times New Roman"/>
        </w:rPr>
        <w:t>oraz spełnia wymogi odnoszące się do przedsiębiorstwa:</w:t>
      </w:r>
    </w:p>
    <w:p w14:paraId="1906D250" w14:textId="77777777" w:rsidR="00C763F0" w:rsidRDefault="00C763F0" w:rsidP="00C763F0">
      <w:pPr>
        <w:spacing w:after="0" w:line="26" w:lineRule="atLeast"/>
        <w:jc w:val="both"/>
        <w:rPr>
          <w:rFonts w:eastAsia="Times New Roman"/>
        </w:rPr>
      </w:pPr>
    </w:p>
    <w:p w14:paraId="5EC8A0E8" w14:textId="77777777" w:rsidR="00ED61F4" w:rsidRPr="00ED61F4" w:rsidRDefault="00ED61F4" w:rsidP="00ED61F4">
      <w:pPr>
        <w:spacing w:after="0" w:line="26" w:lineRule="atLeast"/>
        <w:jc w:val="both"/>
        <w:rPr>
          <w:rFonts w:eastAsia="Times New Roman"/>
          <w:b/>
        </w:rPr>
      </w:pPr>
      <w:r w:rsidRPr="00ED61F4">
        <w:rPr>
          <w:rFonts w:eastAsia="Times New Roman"/>
          <w:b/>
        </w:rPr>
        <w:t xml:space="preserve">Samodzielnego  </w:t>
      </w:r>
      <w:r w:rsidRPr="00ED61F4">
        <w:rPr>
          <w:rFonts w:eastAsia="Times New Roman"/>
          <w:b/>
        </w:rPr>
        <w:tab/>
      </w:r>
      <w:r w:rsidRPr="00ED61F4">
        <w:rPr>
          <w:rFonts w:eastAsia="Times New Roman"/>
          <w:b/>
        </w:rPr>
        <w:tab/>
      </w:r>
      <w:r w:rsidRPr="00ED61F4">
        <w:rPr>
          <w:rFonts w:eastAsia="Times New Roman"/>
          <w:b/>
        </w:rPr>
        <w:tab/>
      </w:r>
      <w:r w:rsidRPr="00ED61F4">
        <w:rPr>
          <w:rFonts w:eastAsia="Times New Roman"/>
          <w:b/>
        </w:rPr>
        <w:tab/>
      </w:r>
      <w:r w:rsidRPr="00ED61F4">
        <w:rPr>
          <w:rFonts w:eastAsia="Times New Roman"/>
          <w:b/>
        </w:rPr>
        <w:tab/>
      </w:r>
      <w:r w:rsidRPr="00ED61F4">
        <w:rPr>
          <w:rFonts w:eastAsia="Times New Roman"/>
          <w:b/>
        </w:rPr>
        <w:tab/>
      </w:r>
      <w:r w:rsidRPr="00ED61F4">
        <w:rPr>
          <w:rFonts w:eastAsia="Times New Roman"/>
          <w:b/>
        </w:rPr>
        <w:tab/>
      </w:r>
      <w:r w:rsidRPr="00ED61F4">
        <w:rPr>
          <w:rFonts w:eastAsia="Times New Roman"/>
          <w:b/>
        </w:rPr>
        <w:tab/>
      </w:r>
      <w:r w:rsidRPr="00ED61F4">
        <w:rPr>
          <w:rFonts w:eastAsia="Times New Roman"/>
          <w:b/>
        </w:rPr>
        <w:tab/>
      </w:r>
      <w:r w:rsidRPr="00ED61F4">
        <w:rPr>
          <w:rFonts w:eastAsia="Times New Roman"/>
          <w:b/>
        </w:rPr>
        <w:tab/>
      </w:r>
    </w:p>
    <w:p w14:paraId="7A3D517A" w14:textId="02DEDE86" w:rsidR="00ED61F4" w:rsidRDefault="00ED61F4" w:rsidP="00ED61F4">
      <w:pPr>
        <w:spacing w:after="0" w:line="26" w:lineRule="atLeast"/>
        <w:jc w:val="both"/>
        <w:rPr>
          <w:rFonts w:eastAsia="Times New Roman"/>
          <w:bCs/>
        </w:rPr>
      </w:pPr>
      <w:r w:rsidRPr="00ED61F4">
        <w:rPr>
          <w:rFonts w:eastAsia="Times New Roman"/>
          <w:bCs/>
        </w:rPr>
        <w:t>Każde przedsiębiorstwo, które nie jest zakwalifikowane jako przedsiębiorstwo partnerskie, ani jako przedsiębiorstwo powiązane.</w:t>
      </w:r>
    </w:p>
    <w:p w14:paraId="3B0B7054" w14:textId="77777777" w:rsidR="00ED61F4" w:rsidRPr="00ED61F4" w:rsidRDefault="00ED61F4" w:rsidP="00ED61F4">
      <w:pPr>
        <w:spacing w:after="0" w:line="26" w:lineRule="atLeast"/>
        <w:jc w:val="both"/>
        <w:rPr>
          <w:rFonts w:eastAsia="Times New Roman"/>
          <w:bCs/>
        </w:rPr>
      </w:pPr>
    </w:p>
    <w:p w14:paraId="1D6BB17B" w14:textId="77777777" w:rsidR="00ED61F4" w:rsidRPr="00ED61F4" w:rsidRDefault="00ED61F4" w:rsidP="00ED61F4">
      <w:pPr>
        <w:spacing w:after="0" w:line="26" w:lineRule="atLeast"/>
        <w:jc w:val="both"/>
        <w:rPr>
          <w:rFonts w:eastAsia="Times New Roman"/>
          <w:b/>
        </w:rPr>
      </w:pPr>
      <w:r w:rsidRPr="00ED61F4">
        <w:rPr>
          <w:rFonts w:eastAsia="Times New Roman"/>
          <w:b/>
        </w:rPr>
        <w:t xml:space="preserve">Partnerskiego </w:t>
      </w:r>
    </w:p>
    <w:p w14:paraId="47846E69" w14:textId="77777777" w:rsidR="00ED61F4" w:rsidRPr="00ED61F4" w:rsidRDefault="00ED61F4" w:rsidP="00ED61F4">
      <w:pPr>
        <w:spacing w:after="0" w:line="26" w:lineRule="atLeast"/>
        <w:jc w:val="both"/>
        <w:rPr>
          <w:rFonts w:eastAsia="Times New Roman"/>
          <w:bCs/>
        </w:rPr>
      </w:pPr>
      <w:r w:rsidRPr="00ED61F4">
        <w:rPr>
          <w:rFonts w:eastAsia="Times New Roman"/>
          <w:bCs/>
        </w:rPr>
        <w:t>Oznaczają wszystkie przedsiębiorstwa, które nie zostały zakwalifikowane jako przedsiębiorstwa powiązane w rozumieniu i między którymi istnieją następujące związki: przedsiębiorstwo (przedsiębiorstwo wyższego szczebla) posiada, samodzielnie lub wspólnie z co najmniej jednym przedsiębiorstwem powiązanym, co najmniej 25 % kapitału innego przedsiębiorstwa (przedsiębiorstwa niższego szczebla) lub praw głosu w takim przedsiębiorstwie.</w:t>
      </w:r>
    </w:p>
    <w:p w14:paraId="3E8C8ADC" w14:textId="77777777" w:rsidR="00ED61F4" w:rsidRPr="00ED61F4" w:rsidRDefault="00ED61F4" w:rsidP="00ED61F4">
      <w:pPr>
        <w:spacing w:after="0" w:line="26" w:lineRule="atLeast"/>
        <w:jc w:val="both"/>
        <w:rPr>
          <w:rFonts w:eastAsia="Times New Roman"/>
          <w:bCs/>
        </w:rPr>
      </w:pPr>
      <w:r w:rsidRPr="00ED61F4">
        <w:rPr>
          <w:rFonts w:eastAsia="Times New Roman"/>
          <w:bCs/>
        </w:rPr>
        <w:t>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w:t>
      </w:r>
    </w:p>
    <w:p w14:paraId="30B7F629" w14:textId="77777777" w:rsidR="00ED61F4" w:rsidRPr="00ED61F4" w:rsidRDefault="00ED61F4" w:rsidP="00ED61F4">
      <w:pPr>
        <w:spacing w:after="0" w:line="26" w:lineRule="atLeast"/>
        <w:jc w:val="both"/>
        <w:rPr>
          <w:rFonts w:eastAsia="Times New Roman"/>
          <w:bCs/>
        </w:rPr>
      </w:pPr>
      <w:r w:rsidRPr="00ED61F4">
        <w:rPr>
          <w:rFonts w:eastAsia="Times New Roman"/>
          <w:bCs/>
        </w:rPr>
        <w:t xml:space="preserve">publiczne korporacje inwestycyjne, spółki venture </w:t>
      </w:r>
      <w:proofErr w:type="spellStart"/>
      <w:r w:rsidRPr="00ED61F4">
        <w:rPr>
          <w:rFonts w:eastAsia="Times New Roman"/>
          <w:bCs/>
        </w:rPr>
        <w:t>capital</w:t>
      </w:r>
      <w:proofErr w:type="spellEnd"/>
      <w:r w:rsidRPr="00ED61F4">
        <w:rPr>
          <w:rFonts w:eastAsia="Times New Roman"/>
          <w:bCs/>
        </w:rPr>
        <w:t xml:space="preserve">, osoby fizyczne lub grupy osób fizycznych prowadzące regularną działalność inwestycyjną w oparciu o venture </w:t>
      </w:r>
      <w:proofErr w:type="spellStart"/>
      <w:r w:rsidRPr="00ED61F4">
        <w:rPr>
          <w:rFonts w:eastAsia="Times New Roman"/>
          <w:bCs/>
        </w:rPr>
        <w:t>capital</w:t>
      </w:r>
      <w:proofErr w:type="spellEnd"/>
      <w:r w:rsidRPr="00ED61F4">
        <w:rPr>
          <w:rFonts w:eastAsia="Times New Roman"/>
          <w:bCs/>
        </w:rPr>
        <w:t>, które inwestują w firmy nienotowane na giełdzie (tzw. anioły biznesu), pod warunkiem że całkowita kwota inwestycji tych aniołów biznesu w jedno przedsiębiorstwo wynosi mniej niż 1 250 000 EUR;</w:t>
      </w:r>
    </w:p>
    <w:p w14:paraId="1C6B4D60" w14:textId="77777777" w:rsidR="00ED61F4" w:rsidRPr="00ED61F4" w:rsidRDefault="00ED61F4" w:rsidP="00ED61F4">
      <w:pPr>
        <w:spacing w:after="0" w:line="26" w:lineRule="atLeast"/>
        <w:jc w:val="both"/>
        <w:rPr>
          <w:rFonts w:eastAsia="Times New Roman"/>
          <w:bCs/>
        </w:rPr>
      </w:pPr>
      <w:r w:rsidRPr="00ED61F4">
        <w:rPr>
          <w:rFonts w:eastAsia="Times New Roman"/>
          <w:bCs/>
        </w:rPr>
        <w:t xml:space="preserve">uczelnie wyższe lub ośrodki badawcze nienastawione na zysk; </w:t>
      </w:r>
    </w:p>
    <w:p w14:paraId="5B84247B" w14:textId="77777777" w:rsidR="00ED61F4" w:rsidRPr="00ED61F4" w:rsidRDefault="00ED61F4" w:rsidP="00ED61F4">
      <w:pPr>
        <w:spacing w:after="0" w:line="26" w:lineRule="atLeast"/>
        <w:jc w:val="both"/>
        <w:rPr>
          <w:rFonts w:eastAsia="Times New Roman"/>
          <w:bCs/>
        </w:rPr>
      </w:pPr>
      <w:r w:rsidRPr="00ED61F4">
        <w:rPr>
          <w:rFonts w:eastAsia="Times New Roman"/>
          <w:bCs/>
        </w:rPr>
        <w:t xml:space="preserve">inwestorzy instytucjonalni, w tym fundusze rozwoju regionalnego; </w:t>
      </w:r>
    </w:p>
    <w:p w14:paraId="77785CE5" w14:textId="77777777" w:rsidR="00ED61F4" w:rsidRPr="00ED61F4" w:rsidRDefault="00ED61F4" w:rsidP="00ED61F4">
      <w:pPr>
        <w:spacing w:after="0" w:line="26" w:lineRule="atLeast"/>
        <w:jc w:val="both"/>
        <w:rPr>
          <w:rFonts w:eastAsia="Times New Roman"/>
          <w:bCs/>
        </w:rPr>
      </w:pPr>
      <w:r w:rsidRPr="00ED61F4">
        <w:rPr>
          <w:rFonts w:eastAsia="Times New Roman"/>
          <w:bCs/>
        </w:rPr>
        <w:lastRenderedPageBreak/>
        <w:t xml:space="preserve">niezależne władze lokalne z rocznym budżetem poniżej 10 milionów EUR oraz liczbą mieszkańców poniżej 5 000. </w:t>
      </w:r>
    </w:p>
    <w:p w14:paraId="5F90B1B4" w14:textId="77777777" w:rsidR="00ED61F4" w:rsidRPr="00ED61F4" w:rsidRDefault="00ED61F4" w:rsidP="00ED61F4">
      <w:pPr>
        <w:spacing w:after="0" w:line="26" w:lineRule="atLeast"/>
        <w:jc w:val="both"/>
        <w:rPr>
          <w:rFonts w:eastAsia="Times New Roman"/>
          <w:b/>
        </w:rPr>
      </w:pPr>
      <w:r w:rsidRPr="00ED61F4">
        <w:rPr>
          <w:rFonts w:eastAsia="Times New Roman"/>
          <w:b/>
        </w:rPr>
        <w:t>Powiązanego</w:t>
      </w:r>
    </w:p>
    <w:p w14:paraId="4CFE319D" w14:textId="77777777" w:rsidR="00ED61F4" w:rsidRPr="00ED61F4" w:rsidRDefault="00ED61F4" w:rsidP="00ED61F4">
      <w:pPr>
        <w:spacing w:after="0" w:line="26" w:lineRule="atLeast"/>
        <w:jc w:val="both"/>
        <w:rPr>
          <w:rFonts w:eastAsia="Times New Roman"/>
          <w:bCs/>
        </w:rPr>
      </w:pPr>
      <w:r w:rsidRPr="00ED61F4">
        <w:rPr>
          <w:rFonts w:eastAsia="Times New Roman"/>
          <w:bCs/>
        </w:rPr>
        <w:t xml:space="preserve">Każde przedsiębiorstwo, które pozostaje w jednym z poniższych związków: </w:t>
      </w:r>
    </w:p>
    <w:p w14:paraId="76E145AF" w14:textId="77777777" w:rsidR="00ED61F4" w:rsidRDefault="00ED61F4" w:rsidP="00ED61F4">
      <w:pPr>
        <w:pStyle w:val="Akapitzlist"/>
        <w:numPr>
          <w:ilvl w:val="0"/>
          <w:numId w:val="12"/>
        </w:numPr>
        <w:spacing w:after="0" w:line="26" w:lineRule="atLeast"/>
        <w:jc w:val="both"/>
        <w:rPr>
          <w:rFonts w:eastAsia="Times New Roman"/>
          <w:bCs/>
        </w:rPr>
      </w:pPr>
      <w:r w:rsidRPr="00ED61F4">
        <w:rPr>
          <w:rFonts w:eastAsia="Times New Roman"/>
          <w:bCs/>
        </w:rPr>
        <w:t xml:space="preserve">przedsiębiorstwo ma większość praw głosu w innym przedsiębiorstwie w roli udziałowca/akcjonariusza lub członka; </w:t>
      </w:r>
    </w:p>
    <w:p w14:paraId="614CA440" w14:textId="77777777" w:rsidR="00ED61F4" w:rsidRDefault="00ED61F4" w:rsidP="00ED61F4">
      <w:pPr>
        <w:pStyle w:val="Akapitzlist"/>
        <w:numPr>
          <w:ilvl w:val="0"/>
          <w:numId w:val="12"/>
        </w:numPr>
        <w:spacing w:after="0" w:line="26" w:lineRule="atLeast"/>
        <w:jc w:val="both"/>
        <w:rPr>
          <w:rFonts w:eastAsia="Times New Roman"/>
          <w:bCs/>
        </w:rPr>
      </w:pPr>
      <w:r w:rsidRPr="00ED61F4">
        <w:rPr>
          <w:rFonts w:eastAsia="Times New Roman"/>
          <w:bCs/>
        </w:rPr>
        <w:t xml:space="preserve">przedsiębiorstwo ma prawo wyznaczyć lub odwołać większość członków organu administracyjnego, zarządzającego lub nadzorczego innego przedsiębiorstwa; </w:t>
      </w:r>
    </w:p>
    <w:p w14:paraId="6F6F607B" w14:textId="77777777" w:rsidR="00ED61F4" w:rsidRDefault="00ED61F4" w:rsidP="00ED61F4">
      <w:pPr>
        <w:pStyle w:val="Akapitzlist"/>
        <w:numPr>
          <w:ilvl w:val="0"/>
          <w:numId w:val="12"/>
        </w:numPr>
        <w:spacing w:after="0" w:line="26" w:lineRule="atLeast"/>
        <w:jc w:val="both"/>
        <w:rPr>
          <w:rFonts w:eastAsia="Times New Roman"/>
          <w:bCs/>
        </w:rPr>
      </w:pPr>
      <w:r w:rsidRPr="00ED61F4">
        <w:rPr>
          <w:rFonts w:eastAsia="Times New Roman"/>
          <w:bCs/>
        </w:rPr>
        <w:t xml:space="preserve">przedsiębiorstwo ma prawo wywierać dominujący wpływ na inne przedsiębiorstwo na podstawie umowy zawartej z tym przedsiębiorstwem lub postanowień w jego statucie lub umowie spółki; </w:t>
      </w:r>
    </w:p>
    <w:p w14:paraId="69678978" w14:textId="5DB121ED" w:rsidR="00ED61F4" w:rsidRPr="00ED61F4" w:rsidRDefault="00ED61F4" w:rsidP="00ED61F4">
      <w:pPr>
        <w:pStyle w:val="Akapitzlist"/>
        <w:numPr>
          <w:ilvl w:val="0"/>
          <w:numId w:val="12"/>
        </w:numPr>
        <w:spacing w:after="0" w:line="26" w:lineRule="atLeast"/>
        <w:jc w:val="both"/>
        <w:rPr>
          <w:rFonts w:eastAsia="Times New Roman"/>
          <w:bCs/>
        </w:rPr>
      </w:pPr>
      <w:r w:rsidRPr="00ED61F4">
        <w:rPr>
          <w:rFonts w:eastAsia="Times New Roman"/>
          <w:bCs/>
        </w:rPr>
        <w:t xml:space="preserve">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 </w:t>
      </w:r>
    </w:p>
    <w:p w14:paraId="0AEA94A2" w14:textId="77777777" w:rsidR="00C763F0" w:rsidRDefault="00C763F0" w:rsidP="00C763F0">
      <w:pPr>
        <w:spacing w:after="0" w:line="26" w:lineRule="atLeast"/>
        <w:jc w:val="both"/>
        <w:rPr>
          <w:rFonts w:eastAsia="Times New Roman"/>
        </w:rPr>
      </w:pPr>
    </w:p>
    <w:p w14:paraId="6454CA2A" w14:textId="77777777" w:rsidR="00C763F0" w:rsidRDefault="00C763F0" w:rsidP="00C763F0">
      <w:pPr>
        <w:spacing w:after="0" w:line="26" w:lineRule="atLeast"/>
        <w:jc w:val="both"/>
        <w:rPr>
          <w:rFonts w:eastAsia="Times New Roman"/>
        </w:rPr>
      </w:pPr>
      <w:r>
        <w:rPr>
          <w:rFonts w:eastAsia="Times New Roman"/>
        </w:rPr>
        <w:t xml:space="preserve">Zakłada się, że wpływ dominujący nie istnieje, jeżeli inwestorzy wymienieni w ust. 2 akapit drugi załącznika I rozporządzenia Komisji Europejskiej Nr 651/2014 z dnia 17 czerwca 2014 r. uznające niektóre rodzaje pomocy za zgodne ze wspólnym rynkiem w zastosowaniu art. 107 i 108 Traktatu, nie angażują się bezpośrednio lub pośrednio w zarządzanie danym przedsiębiorstwem, bez uszczerbku dla ich praw jako udziałowców/ akcjonariuszy. </w:t>
      </w:r>
    </w:p>
    <w:p w14:paraId="23DC99C2" w14:textId="77777777" w:rsidR="00C763F0" w:rsidRDefault="00C763F0" w:rsidP="00C763F0">
      <w:pPr>
        <w:spacing w:after="0" w:line="26" w:lineRule="atLeast"/>
        <w:jc w:val="both"/>
        <w:rPr>
          <w:rFonts w:eastAsia="Times New Roman"/>
        </w:rPr>
      </w:pPr>
    </w:p>
    <w:p w14:paraId="61035B8D" w14:textId="77777777" w:rsidR="00C763F0" w:rsidRDefault="00C763F0" w:rsidP="00C763F0">
      <w:pPr>
        <w:spacing w:after="0" w:line="26" w:lineRule="atLeast"/>
        <w:jc w:val="both"/>
        <w:rPr>
          <w:rFonts w:eastAsia="Times New Roman"/>
        </w:rPr>
      </w:pPr>
      <w:r>
        <w:rPr>
          <w:rFonts w:eastAsia="Times New Roman"/>
        </w:rPr>
        <w:t>Przedsiębiorstwa, które pozostają w jednym ze związków opisanych w akapicie pierwszym ww. rozporządzenia za pośrednictwem co najmniej jednego przedsiębiorstwa, lub jednego z inwestorów, o których mowa w ust. 2 ww. rozporządzenia, również uznaje się za powią</w:t>
      </w:r>
      <w:r>
        <w:rPr>
          <w:rFonts w:eastAsia="Times New Roman"/>
        </w:rPr>
        <w:softHyphen/>
        <w:t xml:space="preserve">zane. </w:t>
      </w:r>
    </w:p>
    <w:p w14:paraId="58DC1347" w14:textId="77777777" w:rsidR="00C763F0" w:rsidRDefault="00C763F0" w:rsidP="00C763F0">
      <w:pPr>
        <w:spacing w:after="0" w:line="26" w:lineRule="atLeast"/>
        <w:jc w:val="both"/>
        <w:rPr>
          <w:rFonts w:eastAsia="Times New Roman"/>
        </w:rPr>
      </w:pPr>
    </w:p>
    <w:p w14:paraId="0DDC6995" w14:textId="77777777" w:rsidR="00C763F0" w:rsidRDefault="00C763F0" w:rsidP="00C763F0">
      <w:pPr>
        <w:spacing w:after="0" w:line="26" w:lineRule="atLeast"/>
        <w:jc w:val="both"/>
        <w:rPr>
          <w:rFonts w:eastAsia="Times New Roman"/>
          <w:b/>
        </w:rPr>
      </w:pPr>
      <w:r>
        <w:rPr>
          <w:rFonts w:eastAsia="Times New Roman"/>
          <w:b/>
        </w:rPr>
        <w:t xml:space="preserve">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 </w:t>
      </w:r>
    </w:p>
    <w:p w14:paraId="5BCB23FD" w14:textId="77777777" w:rsidR="00C763F0" w:rsidRDefault="00C763F0" w:rsidP="00C763F0">
      <w:pPr>
        <w:spacing w:after="0" w:line="26" w:lineRule="atLeast"/>
        <w:jc w:val="both"/>
        <w:rPr>
          <w:rFonts w:eastAsia="Times New Roman"/>
        </w:rPr>
      </w:pPr>
    </w:p>
    <w:p w14:paraId="1B3076DB" w14:textId="77777777" w:rsidR="00C763F0" w:rsidRDefault="00C763F0" w:rsidP="00C763F0">
      <w:pPr>
        <w:spacing w:after="0" w:line="26" w:lineRule="atLeast"/>
        <w:jc w:val="both"/>
        <w:rPr>
          <w:rFonts w:eastAsia="Times New Roman"/>
        </w:rPr>
      </w:pPr>
      <w:r>
        <w:rPr>
          <w:rFonts w:eastAsia="Times New Roman"/>
        </w:rPr>
        <w:t xml:space="preserve">Za „rynek pokrewny” uważa się rynek dla danego produktu lub usługi znajdujący się bezpośrednio na wyższym lub niższym szczeblu rynku w stosunku do rynku właściwego. </w:t>
      </w:r>
    </w:p>
    <w:p w14:paraId="2D4C7026" w14:textId="77777777" w:rsidR="00C763F0" w:rsidRDefault="00C763F0" w:rsidP="00C763F0">
      <w:pPr>
        <w:spacing w:after="0" w:line="26" w:lineRule="atLeast"/>
        <w:jc w:val="both"/>
        <w:rPr>
          <w:rFonts w:eastAsia="Times New Roman"/>
        </w:rPr>
      </w:pPr>
    </w:p>
    <w:p w14:paraId="68772B4F" w14:textId="77777777" w:rsidR="00C763F0" w:rsidRDefault="00C763F0" w:rsidP="00C763F0">
      <w:pPr>
        <w:spacing w:after="0" w:line="26" w:lineRule="atLeast"/>
        <w:jc w:val="both"/>
        <w:rPr>
          <w:rFonts w:eastAsia="Times New Roman"/>
        </w:rPr>
      </w:pPr>
      <w:r>
        <w:rPr>
          <w:rFonts w:eastAsia="Times New Roman"/>
        </w:rPr>
        <w:t>Poza przypadkami określonymi w ust. 2 akapit drugi ww. rozporządzenia, przedsiębiorstwa nie można uznać za małe lub średnie przedsiębiorstwo, jeżeli 25 % lub więcej kapitału lub praw głosu kontroluje bezpośrednio lub pośrednio, wspólnie lub indywidualnie, co najmniej jeden organ publiczny.</w:t>
      </w:r>
    </w:p>
    <w:p w14:paraId="1488D96F" w14:textId="77777777" w:rsidR="00C763F0" w:rsidRDefault="00C763F0" w:rsidP="005B6980">
      <w:pPr>
        <w:autoSpaceDE w:val="0"/>
        <w:autoSpaceDN w:val="0"/>
        <w:adjustRightInd w:val="0"/>
        <w:spacing w:after="0" w:line="240" w:lineRule="auto"/>
        <w:jc w:val="both"/>
        <w:rPr>
          <w:rFonts w:ascii="Calibri,Bold" w:hAnsi="Calibri,Bold" w:cs="Calibri,Bold"/>
          <w:b/>
          <w:bCs/>
        </w:rPr>
      </w:pPr>
    </w:p>
    <w:p w14:paraId="60DECC33" w14:textId="77777777" w:rsidR="00C763F0" w:rsidRDefault="00C763F0" w:rsidP="005B6980">
      <w:pPr>
        <w:autoSpaceDE w:val="0"/>
        <w:autoSpaceDN w:val="0"/>
        <w:adjustRightInd w:val="0"/>
        <w:spacing w:after="0" w:line="240" w:lineRule="auto"/>
        <w:jc w:val="both"/>
        <w:rPr>
          <w:rFonts w:ascii="Calibri,Bold" w:hAnsi="Calibri,Bold" w:cs="Calibri,Bold"/>
          <w:b/>
          <w:bCs/>
        </w:rPr>
      </w:pPr>
    </w:p>
    <w:p w14:paraId="7B7A88DA" w14:textId="610A3D4E" w:rsidR="005B6980" w:rsidRDefault="005B6980" w:rsidP="005B6980">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Liczba osób zatrudnionych</w:t>
      </w:r>
    </w:p>
    <w:p w14:paraId="73CDF27B" w14:textId="79C7DC2A"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 xml:space="preserve">Zgodnie z zapisami art. 5 Załącznika nr 1 rozporządzenia Komisji Europejskiej Nr 651/2014 z dnia 17 czerwca 2014 r. uznające niektóre rodzaje pomocy za zgodne ze wspólnym rynkiem w zastosowaniu art. 107 i 108 Traktatu 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t>
      </w:r>
      <w:r>
        <w:rPr>
          <w:rFonts w:ascii="Calibri" w:hAnsi="Calibri" w:cs="Calibri"/>
        </w:rPr>
        <w:br/>
        <w:t>W skład personelu wchodzą:</w:t>
      </w:r>
    </w:p>
    <w:p w14:paraId="3EDC5225" w14:textId="77777777"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a) pracownicy;</w:t>
      </w:r>
    </w:p>
    <w:p w14:paraId="5A1493D0" w14:textId="78FA8279"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lastRenderedPageBreak/>
        <w:t>b) osoby pracujące dla przedsiębiorstwa, podlegające mu i uważane za pracowników na mocy</w:t>
      </w:r>
      <w:r w:rsidR="001923B7">
        <w:rPr>
          <w:rFonts w:ascii="Calibri" w:hAnsi="Calibri" w:cs="Calibri"/>
        </w:rPr>
        <w:t xml:space="preserve"> </w:t>
      </w:r>
      <w:r>
        <w:rPr>
          <w:rFonts w:ascii="Calibri" w:hAnsi="Calibri" w:cs="Calibri"/>
        </w:rPr>
        <w:t>prawa krajowego;</w:t>
      </w:r>
    </w:p>
    <w:p w14:paraId="627787AC" w14:textId="77777777"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c) właściciele – kierownicy;</w:t>
      </w:r>
    </w:p>
    <w:p w14:paraId="009844F3" w14:textId="7E3883BF"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d) partnerzy prowadzący regularną działalność w przedsiębiorstwie i czerpiący z niego korzyści</w:t>
      </w:r>
      <w:r w:rsidR="001923B7">
        <w:rPr>
          <w:rFonts w:ascii="Calibri" w:hAnsi="Calibri" w:cs="Calibri"/>
        </w:rPr>
        <w:t xml:space="preserve"> </w:t>
      </w:r>
      <w:r>
        <w:rPr>
          <w:rFonts w:ascii="Calibri" w:hAnsi="Calibri" w:cs="Calibri"/>
        </w:rPr>
        <w:t>finansowe.</w:t>
      </w:r>
    </w:p>
    <w:p w14:paraId="1DAE9AC9" w14:textId="77777777" w:rsidR="005B6980" w:rsidRDefault="005B6980" w:rsidP="005B6980">
      <w:pPr>
        <w:autoSpaceDE w:val="0"/>
        <w:autoSpaceDN w:val="0"/>
        <w:adjustRightInd w:val="0"/>
        <w:spacing w:after="0" w:line="240" w:lineRule="auto"/>
        <w:jc w:val="both"/>
        <w:rPr>
          <w:rFonts w:ascii="Calibri" w:hAnsi="Calibri" w:cs="Calibri"/>
        </w:rPr>
      </w:pPr>
    </w:p>
    <w:p w14:paraId="7FF021EA" w14:textId="52FA19BD"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Praktykanci lub studenci odbywający szkolenie zawodowe na podstawie umowy o praktyce lub szkoleniu zawodowym nie wchodzą w skład personelu. Nie wlicza się okresu trwania urlopu macierzyńskiego ani wychowawczego.</w:t>
      </w:r>
    </w:p>
    <w:p w14:paraId="5FBA3ECD" w14:textId="77777777" w:rsidR="005B6980" w:rsidRDefault="005B6980" w:rsidP="005B6980">
      <w:pPr>
        <w:autoSpaceDE w:val="0"/>
        <w:autoSpaceDN w:val="0"/>
        <w:adjustRightInd w:val="0"/>
        <w:spacing w:after="0" w:line="240" w:lineRule="auto"/>
        <w:jc w:val="both"/>
        <w:rPr>
          <w:rFonts w:ascii="Calibri" w:hAnsi="Calibri" w:cs="Calibri"/>
        </w:rPr>
      </w:pPr>
    </w:p>
    <w:p w14:paraId="2C9F568F" w14:textId="21E1A534"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Za roczną jednostkę pracy (RJP) powinno się przyjmować każdą osobę faktycznie wykonującą pracę na rzecz przedsiębiorstwa, nie zaś wyłącznie osoby pozostające z nim w stosunku pracy w rozumieniu prawa polskiego. Zatem, w odniesieniu do umów cywilnoprawnych zawieranych przez przedsiębiorstwo z osobami wykonującymi w swoim imieniu działalność gospodarczą (pozostającymi w tzw. samo zatrudnieniu) stwierdzić należy, iż podobnie jak w przypadku definicji przedsiębiorstwa za</w:t>
      </w:r>
    </w:p>
    <w:p w14:paraId="77C87E71" w14:textId="77777777"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decydujący należy uznać aspekt funkcjonalny. W przypadku, gdy praca wykonywana jest według zasad</w:t>
      </w:r>
    </w:p>
    <w:p w14:paraId="0304E3AB" w14:textId="511FB7F5" w:rsidR="008C689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tworzących stosunek pracy, uważa się, iż osoba zatrudniona jest pracownikiem w rozumieniu przepisów prawa krajowego. W zaistniałej sytuacji osoby zatrudnione na ww. warunkach należy uwzględniać jako RJP, przy czym bez znaczenia pozostaje nazwa umowy, w oparciu o którą wykonywane są czynności na rzecz przedsiębiorstwa (np. „umowa o dzieło”, „umowa zlecenia”, umowa z agencją pośrednictwa pracy). Koniecznym jest więc każdorazowe przeanalizowanie faktycznej treści stosunku łączącego strony.</w:t>
      </w:r>
    </w:p>
    <w:p w14:paraId="48E119C8" w14:textId="77777777" w:rsidR="005B6980" w:rsidRDefault="005B6980" w:rsidP="005B6980">
      <w:pPr>
        <w:autoSpaceDE w:val="0"/>
        <w:autoSpaceDN w:val="0"/>
        <w:adjustRightInd w:val="0"/>
        <w:spacing w:after="0" w:line="240" w:lineRule="auto"/>
        <w:jc w:val="both"/>
        <w:rPr>
          <w:rFonts w:ascii="Calibri" w:hAnsi="Calibri" w:cs="Calibri"/>
        </w:rPr>
      </w:pPr>
    </w:p>
    <w:p w14:paraId="7AF8BCAD" w14:textId="77777777" w:rsidR="005B6980" w:rsidRDefault="005B6980" w:rsidP="005B6980">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Okres referencyjny</w:t>
      </w:r>
    </w:p>
    <w:p w14:paraId="336B2C03" w14:textId="77777777"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Dla określenia zmiany statusu przedsiębiorcy należy uwzględniać dane odnoszące się do zamkniętego</w:t>
      </w:r>
    </w:p>
    <w:p w14:paraId="31844FF9" w14:textId="77777777"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okresu obrachunkowego bez czekania na zatwierdzenie tych danych (to jest w praktyce w większości</w:t>
      </w:r>
    </w:p>
    <w:p w14:paraId="3BFCD7FA" w14:textId="7EA6D715"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przedsiębiorstw od dnia 1 stycznia kolejnego roku).</w:t>
      </w:r>
    </w:p>
    <w:p w14:paraId="61964121" w14:textId="77777777" w:rsidR="005B6980" w:rsidRDefault="005B6980" w:rsidP="005B6980">
      <w:pPr>
        <w:autoSpaceDE w:val="0"/>
        <w:autoSpaceDN w:val="0"/>
        <w:adjustRightInd w:val="0"/>
        <w:spacing w:after="0" w:line="240" w:lineRule="auto"/>
        <w:jc w:val="both"/>
        <w:rPr>
          <w:rFonts w:ascii="Calibri" w:hAnsi="Calibri" w:cs="Calibri"/>
        </w:rPr>
      </w:pPr>
    </w:p>
    <w:p w14:paraId="5BE461B5" w14:textId="1E854BF1"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 xml:space="preserve">W odniesieniu do przedsiębiorstw nowopowstałych, które nie mają jeszcze zamkniętego pierwszego okresu obrachunkowego, dane służące do określenia statusu MŚP powinny pochodzić z oceny dokonanej w dobrej wierze w trakcie roku obrachunkowego. Określenie statusu przedsiębiorstwa nowopowstałego powinno opierać się na danych aktualnych na dzień ubiegania się o wsparcie </w:t>
      </w:r>
      <w:r>
        <w:rPr>
          <w:rFonts w:ascii="Calibri" w:hAnsi="Calibri" w:cs="Calibri"/>
        </w:rPr>
        <w:br/>
        <w:t>i odzwierciedlać prognozy dla całego bieżącego okresu obrachunkowego. Wszelkie przyjęte przez wnioskodawcę wartości powinny znajdować oparcie w dokumentacji przedsiębiorstwa, a zakładane prognozy dotyczące poziomu zatrudnienia oraz wyników finansowych należy stosownie umotywować.</w:t>
      </w:r>
    </w:p>
    <w:p w14:paraId="7ABF303E" w14:textId="77777777" w:rsidR="005B6980" w:rsidRDefault="005B6980" w:rsidP="005B6980">
      <w:pPr>
        <w:autoSpaceDE w:val="0"/>
        <w:autoSpaceDN w:val="0"/>
        <w:adjustRightInd w:val="0"/>
        <w:spacing w:after="0" w:line="240" w:lineRule="auto"/>
        <w:jc w:val="both"/>
        <w:rPr>
          <w:rFonts w:ascii="Calibri" w:hAnsi="Calibri" w:cs="Calibri"/>
        </w:rPr>
      </w:pPr>
    </w:p>
    <w:p w14:paraId="63854547" w14:textId="77777777" w:rsidR="005B6980" w:rsidRDefault="005B6980" w:rsidP="005B6980">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Przedsiębiorstwo powiązane - powiązania osobowe</w:t>
      </w:r>
    </w:p>
    <w:p w14:paraId="6B31ED1D" w14:textId="09FF0B59"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Istotnym aspektem w zakresie powiązań są relacje zachodzące pomiędzy przedsiębiorstwami za pośrednictwem kontrolujących je osób fizycznych (nie chodzi tu o osoby fizyczne prowadzące indywidualną działalność gospodarczą na podstawie wpisu do Ewidencji Działalności Gospodarczej, gdyż takie traktowane są jako przedsiębiorstwa na gruncie art. 1 Załącznika nr 1 rozporządzenia Komisji</w:t>
      </w:r>
    </w:p>
    <w:p w14:paraId="29AC9546" w14:textId="3C0BE5B8"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Europejskiej Nr 651/2014 z dnia 17 czerwca 2014 r. uznające niektóre rodzaje pomocy za zgodne ze wspólnym rynkiem w zastosowaniu art. 107 i 108 Traktatu). Zgodnie z treścią art. 3 ust. 3 ww. rozporządzenia powiązanie należy stwierdzić także, jeżeli zachodzi ono poprzez osobę fizyczną, przy czym konieczne jest ustalenie, że rozpatrywane podmioty prowadzą działalność na tym samym rynku</w:t>
      </w:r>
    </w:p>
    <w:p w14:paraId="3296F36F" w14:textId="25E33B97"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lub rynkach pokrewnych. Osoby fizyczne oznaczają w tym przypadku wspólników, udziałowców, akcjonariuszy, członków zarządu, prokurentów i wszelkie inne osoby fizyczne mające faktyczny wpływ</w:t>
      </w:r>
    </w:p>
    <w:p w14:paraId="17877963" w14:textId="58EDDB6D"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na zarządzanie przedsiębiorstwem. Przykładowo fakt występowania, tożsamych pod względem osobowym, struktur zarządu w dwóch spółkach z o. o. stanowiłby przesłankę do stwierdzenia powiązania pomiędzy nimi. Podobnie należałoby uznać w przypadku, w którym jedna osoba fizyczna</w:t>
      </w:r>
    </w:p>
    <w:p w14:paraId="4348858F" w14:textId="77777777"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lastRenderedPageBreak/>
        <w:t>posiadałaby uprawnienia umożliwiające kontrolowanie dwóch formalnie odrębnych podmiotów.</w:t>
      </w:r>
    </w:p>
    <w:p w14:paraId="02BEDF01" w14:textId="77777777" w:rsidR="007B01A8" w:rsidRDefault="007B01A8" w:rsidP="005B6980">
      <w:pPr>
        <w:autoSpaceDE w:val="0"/>
        <w:autoSpaceDN w:val="0"/>
        <w:adjustRightInd w:val="0"/>
        <w:spacing w:after="0" w:line="240" w:lineRule="auto"/>
        <w:jc w:val="both"/>
        <w:rPr>
          <w:rFonts w:ascii="Calibri" w:hAnsi="Calibri" w:cs="Calibri"/>
        </w:rPr>
      </w:pPr>
    </w:p>
    <w:p w14:paraId="50389A70" w14:textId="2C3EDD5C"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Powiązanie nie musi koniecznie zachodzić przez – literalnie – te same osoby fizyczne, ale może się także</w:t>
      </w:r>
    </w:p>
    <w:p w14:paraId="05D4BF13" w14:textId="432A525A"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opierać na związkach o charakterze rodzinnym czy biznesowym. O ile pojęcie tożsamego rynku</w:t>
      </w:r>
      <w:r w:rsidR="007B01A8">
        <w:rPr>
          <w:rFonts w:ascii="Calibri" w:hAnsi="Calibri" w:cs="Calibri"/>
        </w:rPr>
        <w:t xml:space="preserve"> </w:t>
      </w:r>
      <w:r>
        <w:rPr>
          <w:rFonts w:ascii="Calibri" w:hAnsi="Calibri" w:cs="Calibri"/>
        </w:rPr>
        <w:t>właściwego wydaje się jasne, o tyle wyjaśnienia wymaga zakres pojęciowy wyrażenia „rynki pokrewne”.</w:t>
      </w:r>
    </w:p>
    <w:p w14:paraId="49A61D50" w14:textId="77777777" w:rsidR="007B01A8" w:rsidRDefault="007B01A8" w:rsidP="005B6980">
      <w:pPr>
        <w:autoSpaceDE w:val="0"/>
        <w:autoSpaceDN w:val="0"/>
        <w:adjustRightInd w:val="0"/>
        <w:spacing w:after="0" w:line="240" w:lineRule="auto"/>
        <w:jc w:val="both"/>
        <w:rPr>
          <w:rFonts w:ascii="Calibri" w:hAnsi="Calibri" w:cs="Calibri"/>
        </w:rPr>
      </w:pPr>
    </w:p>
    <w:p w14:paraId="6A38975E" w14:textId="3E2C3EFC"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Ww. rozporządzenie za rynek pokrewny uznaje rynek danego produktu lub usługi znajdujący się</w:t>
      </w:r>
      <w:r w:rsidR="007B01A8">
        <w:rPr>
          <w:rFonts w:ascii="Calibri" w:hAnsi="Calibri" w:cs="Calibri"/>
        </w:rPr>
        <w:t xml:space="preserve"> </w:t>
      </w:r>
      <w:r>
        <w:rPr>
          <w:rFonts w:ascii="Calibri" w:hAnsi="Calibri" w:cs="Calibri"/>
        </w:rPr>
        <w:t>bezpośrednio na niższym lub wyższym szczeblu w stosunku do właściwego rynku. Powyższe oznacza</w:t>
      </w:r>
      <w:r w:rsidR="007B01A8">
        <w:rPr>
          <w:rFonts w:ascii="Calibri" w:hAnsi="Calibri" w:cs="Calibri"/>
        </w:rPr>
        <w:t xml:space="preserve"> </w:t>
      </w:r>
      <w:r>
        <w:rPr>
          <w:rFonts w:ascii="Calibri" w:hAnsi="Calibri" w:cs="Calibri"/>
        </w:rPr>
        <w:t>zależność w rodzaju: wytwórca materiału służącego do produkcji artykułu – producent artykułu –</w:t>
      </w:r>
      <w:r w:rsidR="007B01A8">
        <w:rPr>
          <w:rFonts w:ascii="Calibri" w:hAnsi="Calibri" w:cs="Calibri"/>
        </w:rPr>
        <w:t xml:space="preserve"> </w:t>
      </w:r>
      <w:r>
        <w:rPr>
          <w:rFonts w:ascii="Calibri" w:hAnsi="Calibri" w:cs="Calibri"/>
        </w:rPr>
        <w:t>dystrybutor artykułu, przy czym wytwórca oraz dystrybutor działają na rynkach pokrewnych względem</w:t>
      </w:r>
    </w:p>
    <w:p w14:paraId="1813E84A" w14:textId="77777777"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producenta, zaś producent na rynku pokrewnym względem wytwórcy oraz dystrybutora.</w:t>
      </w:r>
    </w:p>
    <w:p w14:paraId="39FF3947" w14:textId="77777777" w:rsidR="007B01A8" w:rsidRDefault="007B01A8" w:rsidP="005B6980">
      <w:pPr>
        <w:autoSpaceDE w:val="0"/>
        <w:autoSpaceDN w:val="0"/>
        <w:adjustRightInd w:val="0"/>
        <w:spacing w:after="0" w:line="240" w:lineRule="auto"/>
        <w:jc w:val="both"/>
        <w:rPr>
          <w:rFonts w:ascii="Calibri" w:hAnsi="Calibri" w:cs="Calibri"/>
        </w:rPr>
      </w:pPr>
    </w:p>
    <w:p w14:paraId="4EC30B04" w14:textId="427913F3"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Ponadto elementem fundamentalnym dla stwierdzenia powiązań pomiędzy przedsiębiorstwami jest</w:t>
      </w:r>
    </w:p>
    <w:p w14:paraId="793B59D2" w14:textId="32E9B983"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istnienie okoliczności faktycznych wskazujących na współdziałanie. O powyższym świadczyć mogą</w:t>
      </w:r>
      <w:r w:rsidR="007B01A8">
        <w:rPr>
          <w:rFonts w:ascii="Calibri" w:hAnsi="Calibri" w:cs="Calibri"/>
        </w:rPr>
        <w:t xml:space="preserve"> </w:t>
      </w:r>
      <w:r w:rsidR="007B01A8">
        <w:rPr>
          <w:rFonts w:ascii="Calibri" w:hAnsi="Calibri" w:cs="Calibri"/>
        </w:rPr>
        <w:br/>
      </w:r>
      <w:r>
        <w:rPr>
          <w:rFonts w:ascii="Calibri" w:hAnsi="Calibri" w:cs="Calibri"/>
        </w:rPr>
        <w:t>w szczególności:</w:t>
      </w:r>
    </w:p>
    <w:p w14:paraId="74F1C386" w14:textId="77777777" w:rsidR="005B6980" w:rsidRDefault="005B6980" w:rsidP="00C2491E">
      <w:pPr>
        <w:autoSpaceDE w:val="0"/>
        <w:autoSpaceDN w:val="0"/>
        <w:adjustRightInd w:val="0"/>
        <w:spacing w:after="0" w:line="240" w:lineRule="auto"/>
        <w:jc w:val="both"/>
        <w:rPr>
          <w:rFonts w:ascii="Calibri" w:hAnsi="Calibri" w:cs="Calibri"/>
        </w:rPr>
      </w:pPr>
      <w:r>
        <w:rPr>
          <w:rFonts w:ascii="Courier" w:hAnsi="Courier" w:cs="Courier"/>
        </w:rPr>
        <w:t xml:space="preserve">- </w:t>
      </w:r>
      <w:r>
        <w:rPr>
          <w:rFonts w:ascii="Calibri" w:hAnsi="Calibri" w:cs="Calibri"/>
        </w:rPr>
        <w:t>wzajemne korzystanie ze swoich zasobów (finansowych, majątkowych) przez podmioty powiązane;</w:t>
      </w:r>
    </w:p>
    <w:p w14:paraId="4B01E8E3" w14:textId="77777777" w:rsidR="005F4FAF" w:rsidRDefault="005B6980" w:rsidP="00C2491E">
      <w:pPr>
        <w:spacing w:after="0" w:line="240" w:lineRule="auto"/>
        <w:jc w:val="both"/>
        <w:rPr>
          <w:rFonts w:ascii="Calibri" w:hAnsi="Calibri" w:cs="Calibri"/>
        </w:rPr>
      </w:pPr>
      <w:r>
        <w:rPr>
          <w:rFonts w:ascii="Courier" w:hAnsi="Courier" w:cs="Courier"/>
        </w:rPr>
        <w:t xml:space="preserve">- </w:t>
      </w:r>
      <w:r>
        <w:rPr>
          <w:rFonts w:ascii="Calibri" w:hAnsi="Calibri" w:cs="Calibri"/>
        </w:rPr>
        <w:t>posługiwanie się tożsamymi oznaczeniami indywidualizującymi podmiot w obrocie;</w:t>
      </w:r>
    </w:p>
    <w:p w14:paraId="2FB6BA28" w14:textId="4A8E2A84" w:rsidR="005B6980" w:rsidRDefault="005F4FAF" w:rsidP="00C2491E">
      <w:pPr>
        <w:spacing w:after="0" w:line="240" w:lineRule="auto"/>
        <w:jc w:val="both"/>
        <w:rPr>
          <w:rFonts w:ascii="Calibri" w:hAnsi="Calibri" w:cs="Calibri"/>
        </w:rPr>
      </w:pPr>
      <w:r>
        <w:rPr>
          <w:rFonts w:ascii="Calibri" w:hAnsi="Calibri" w:cs="Calibri"/>
        </w:rPr>
        <w:t xml:space="preserve">- </w:t>
      </w:r>
      <w:r w:rsidR="005B6980">
        <w:rPr>
          <w:rFonts w:ascii="Calibri" w:hAnsi="Calibri" w:cs="Calibri"/>
        </w:rPr>
        <w:t>funkcjonowanie pod tym samym adresem siedziby lub pod adresami nieruchomości powiązanych</w:t>
      </w:r>
      <w:r w:rsidR="007B01A8">
        <w:rPr>
          <w:rFonts w:ascii="Calibri" w:hAnsi="Calibri" w:cs="Calibri"/>
        </w:rPr>
        <w:t xml:space="preserve"> </w:t>
      </w:r>
      <w:r w:rsidR="005B6980">
        <w:rPr>
          <w:rFonts w:ascii="Calibri" w:hAnsi="Calibri" w:cs="Calibri"/>
        </w:rPr>
        <w:t>ze sobą w dowolny sposób funkcjonalny;</w:t>
      </w:r>
    </w:p>
    <w:p w14:paraId="1010516C" w14:textId="77777777" w:rsidR="005B6980" w:rsidRDefault="005B6980" w:rsidP="00C2491E">
      <w:pPr>
        <w:autoSpaceDE w:val="0"/>
        <w:autoSpaceDN w:val="0"/>
        <w:adjustRightInd w:val="0"/>
        <w:spacing w:after="0" w:line="240" w:lineRule="auto"/>
        <w:jc w:val="both"/>
        <w:rPr>
          <w:rFonts w:ascii="Calibri" w:hAnsi="Calibri" w:cs="Calibri"/>
        </w:rPr>
      </w:pPr>
      <w:r>
        <w:rPr>
          <w:rFonts w:ascii="Courier" w:hAnsi="Courier" w:cs="Courier"/>
        </w:rPr>
        <w:t xml:space="preserve">- </w:t>
      </w:r>
      <w:r>
        <w:rPr>
          <w:rFonts w:ascii="Calibri" w:hAnsi="Calibri" w:cs="Calibri"/>
        </w:rPr>
        <w:t>tożsamość (choćby częściowa) kadry pracowniczej;</w:t>
      </w:r>
    </w:p>
    <w:p w14:paraId="5D105B3F" w14:textId="77777777" w:rsidR="005B6980" w:rsidRDefault="005B6980" w:rsidP="00C2491E">
      <w:pPr>
        <w:autoSpaceDE w:val="0"/>
        <w:autoSpaceDN w:val="0"/>
        <w:adjustRightInd w:val="0"/>
        <w:spacing w:after="0" w:line="240" w:lineRule="auto"/>
        <w:jc w:val="both"/>
        <w:rPr>
          <w:rFonts w:ascii="Calibri" w:hAnsi="Calibri" w:cs="Calibri"/>
        </w:rPr>
      </w:pPr>
      <w:r>
        <w:rPr>
          <w:rFonts w:ascii="Courier" w:hAnsi="Courier" w:cs="Courier"/>
        </w:rPr>
        <w:t xml:space="preserve">- </w:t>
      </w:r>
      <w:r>
        <w:rPr>
          <w:rFonts w:ascii="Calibri" w:hAnsi="Calibri" w:cs="Calibri"/>
        </w:rPr>
        <w:t>wspólna strategia rozwoju;</w:t>
      </w:r>
    </w:p>
    <w:p w14:paraId="578976DF" w14:textId="77777777" w:rsidR="005B6980" w:rsidRDefault="005B6980" w:rsidP="00C2491E">
      <w:pPr>
        <w:autoSpaceDE w:val="0"/>
        <w:autoSpaceDN w:val="0"/>
        <w:adjustRightInd w:val="0"/>
        <w:spacing w:after="0" w:line="240" w:lineRule="auto"/>
        <w:jc w:val="both"/>
        <w:rPr>
          <w:rFonts w:ascii="Calibri" w:hAnsi="Calibri" w:cs="Calibri"/>
        </w:rPr>
      </w:pPr>
      <w:r>
        <w:rPr>
          <w:rFonts w:ascii="Courier" w:hAnsi="Courier" w:cs="Courier"/>
        </w:rPr>
        <w:t xml:space="preserve">- </w:t>
      </w:r>
      <w:r>
        <w:rPr>
          <w:rFonts w:ascii="Calibri" w:hAnsi="Calibri" w:cs="Calibri"/>
        </w:rPr>
        <w:t>tożsamość (choćby częściowa) kanałów dystrybucji;</w:t>
      </w:r>
    </w:p>
    <w:p w14:paraId="4FA233EF" w14:textId="77777777" w:rsidR="005B6980" w:rsidRDefault="005B6980" w:rsidP="005B6980">
      <w:pPr>
        <w:autoSpaceDE w:val="0"/>
        <w:autoSpaceDN w:val="0"/>
        <w:adjustRightInd w:val="0"/>
        <w:spacing w:after="0" w:line="240" w:lineRule="auto"/>
        <w:jc w:val="both"/>
        <w:rPr>
          <w:rFonts w:ascii="Calibri" w:hAnsi="Calibri" w:cs="Calibri"/>
        </w:rPr>
      </w:pPr>
      <w:r>
        <w:rPr>
          <w:rFonts w:ascii="Courier" w:hAnsi="Courier" w:cs="Courier"/>
        </w:rPr>
        <w:t xml:space="preserve">- </w:t>
      </w:r>
      <w:r>
        <w:rPr>
          <w:rFonts w:ascii="Calibri" w:hAnsi="Calibri" w:cs="Calibri"/>
        </w:rPr>
        <w:t>wspólna strategia marketingowa;</w:t>
      </w:r>
    </w:p>
    <w:p w14:paraId="1CAF3962" w14:textId="77777777" w:rsidR="005B6980" w:rsidRDefault="005B6980" w:rsidP="005B6980">
      <w:pPr>
        <w:autoSpaceDE w:val="0"/>
        <w:autoSpaceDN w:val="0"/>
        <w:adjustRightInd w:val="0"/>
        <w:spacing w:after="0" w:line="240" w:lineRule="auto"/>
        <w:jc w:val="both"/>
        <w:rPr>
          <w:rFonts w:ascii="Calibri" w:hAnsi="Calibri" w:cs="Calibri"/>
        </w:rPr>
      </w:pPr>
      <w:r>
        <w:rPr>
          <w:rFonts w:ascii="Courier" w:hAnsi="Courier" w:cs="Courier"/>
        </w:rPr>
        <w:t xml:space="preserve">- </w:t>
      </w:r>
      <w:r>
        <w:rPr>
          <w:rFonts w:ascii="Calibri" w:hAnsi="Calibri" w:cs="Calibri"/>
        </w:rPr>
        <w:t>wspólne występowanie w postępowaniach o udzielenie zamówienia;</w:t>
      </w:r>
    </w:p>
    <w:p w14:paraId="09392B1D" w14:textId="43F4E542" w:rsidR="005B6980" w:rsidRDefault="005B6980" w:rsidP="005B6980">
      <w:pPr>
        <w:autoSpaceDE w:val="0"/>
        <w:autoSpaceDN w:val="0"/>
        <w:adjustRightInd w:val="0"/>
        <w:spacing w:after="0" w:line="240" w:lineRule="auto"/>
        <w:jc w:val="both"/>
        <w:rPr>
          <w:rFonts w:ascii="Calibri" w:hAnsi="Calibri" w:cs="Calibri"/>
        </w:rPr>
      </w:pPr>
      <w:r>
        <w:rPr>
          <w:rFonts w:ascii="Courier" w:hAnsi="Courier" w:cs="Courier"/>
        </w:rPr>
        <w:t xml:space="preserve">- </w:t>
      </w:r>
      <w:r>
        <w:rPr>
          <w:rFonts w:ascii="Calibri" w:hAnsi="Calibri" w:cs="Calibri"/>
        </w:rPr>
        <w:t>zawarte umowy o współpracy.</w:t>
      </w:r>
    </w:p>
    <w:p w14:paraId="250BF38A" w14:textId="77777777" w:rsidR="007B01A8" w:rsidRDefault="007B01A8" w:rsidP="005B6980">
      <w:pPr>
        <w:autoSpaceDE w:val="0"/>
        <w:autoSpaceDN w:val="0"/>
        <w:adjustRightInd w:val="0"/>
        <w:spacing w:after="0" w:line="240" w:lineRule="auto"/>
        <w:jc w:val="both"/>
        <w:rPr>
          <w:rFonts w:ascii="Calibri" w:hAnsi="Calibri" w:cs="Calibri"/>
        </w:rPr>
      </w:pPr>
    </w:p>
    <w:p w14:paraId="7F3848CD" w14:textId="21C66B16"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Przedstawione powyżej wyliczenie ma charakter przykładowy i nie stanowi katalogu zamkniętego</w:t>
      </w:r>
      <w:r w:rsidR="007B01A8">
        <w:rPr>
          <w:rFonts w:ascii="Calibri" w:hAnsi="Calibri" w:cs="Calibri"/>
        </w:rPr>
        <w:t xml:space="preserve"> </w:t>
      </w:r>
      <w:r>
        <w:rPr>
          <w:rFonts w:ascii="Calibri" w:hAnsi="Calibri" w:cs="Calibri"/>
        </w:rPr>
        <w:t>przesłanek, które mogą stanąć u podstaw stwierdzenia powiązania, lecz ma na celu ukazanie szerokości</w:t>
      </w:r>
    </w:p>
    <w:p w14:paraId="20B992B3" w14:textId="2101FF9A"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spektrum badania zależności zachodzących pomiędzy przedsiębiorstwami. Badanie relacji</w:t>
      </w:r>
      <w:r w:rsidR="007B01A8">
        <w:rPr>
          <w:rFonts w:ascii="Calibri" w:hAnsi="Calibri" w:cs="Calibri"/>
        </w:rPr>
        <w:t xml:space="preserve"> </w:t>
      </w:r>
      <w:r w:rsidR="007B01A8">
        <w:rPr>
          <w:rFonts w:ascii="Calibri" w:hAnsi="Calibri" w:cs="Calibri"/>
        </w:rPr>
        <w:br/>
      </w:r>
      <w:r>
        <w:rPr>
          <w:rFonts w:ascii="Calibri" w:hAnsi="Calibri" w:cs="Calibri"/>
        </w:rPr>
        <w:t>w odniesieniu do konkretnego podmiotu aplikującego o dofinansowanie każdorazowo będzie dotyczyć</w:t>
      </w:r>
    </w:p>
    <w:p w14:paraId="2D6AE3EE" w14:textId="4539C1C7"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całego szeregu okoliczności analizowanych pod kątem faktycznego ich wpływu na pozycję rynkową</w:t>
      </w:r>
      <w:r w:rsidR="007B01A8">
        <w:rPr>
          <w:rFonts w:ascii="Calibri" w:hAnsi="Calibri" w:cs="Calibri"/>
        </w:rPr>
        <w:t xml:space="preserve">  </w:t>
      </w:r>
      <w:r>
        <w:rPr>
          <w:rFonts w:ascii="Calibri" w:hAnsi="Calibri" w:cs="Calibri"/>
        </w:rPr>
        <w:t>wnioskodawcy. Stwierdzenie, że pomiędzy przedsiębiorstwami zachodzą opisywane związki</w:t>
      </w:r>
      <w:r w:rsidR="007B01A8">
        <w:rPr>
          <w:rFonts w:ascii="Calibri" w:hAnsi="Calibri" w:cs="Calibri"/>
        </w:rPr>
        <w:t xml:space="preserve"> </w:t>
      </w:r>
      <w:r w:rsidR="007B01A8">
        <w:rPr>
          <w:rFonts w:ascii="Calibri" w:hAnsi="Calibri" w:cs="Calibri"/>
        </w:rPr>
        <w:br/>
      </w:r>
      <w:r>
        <w:rPr>
          <w:rFonts w:ascii="Calibri" w:hAnsi="Calibri" w:cs="Calibri"/>
        </w:rPr>
        <w:t>o charakterze faktycznym może skutkować zaistnieniem pomiędzy nimi powiązania nawet w braku</w:t>
      </w:r>
      <w:r w:rsidR="007B01A8">
        <w:rPr>
          <w:rFonts w:ascii="Calibri" w:hAnsi="Calibri" w:cs="Calibri"/>
        </w:rPr>
        <w:t xml:space="preserve"> </w:t>
      </w:r>
      <w:r>
        <w:rPr>
          <w:rFonts w:ascii="Calibri" w:hAnsi="Calibri" w:cs="Calibri"/>
        </w:rPr>
        <w:t>przekroczenia progów przewidzianych w art. 3 ust. 3 lit. a, b, c, d Załącznika nr 1 rozporządzenia Komisji</w:t>
      </w:r>
    </w:p>
    <w:p w14:paraId="2B74B597" w14:textId="2B2AC3C1"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Europejskiej Nr 651/2014 z dnia 17 czerwca 2014 r., czy też zaistnienia bezpośrednich relacji poprzez</w:t>
      </w:r>
      <w:r w:rsidR="007B01A8">
        <w:rPr>
          <w:rFonts w:ascii="Calibri" w:hAnsi="Calibri" w:cs="Calibri"/>
        </w:rPr>
        <w:t xml:space="preserve"> </w:t>
      </w:r>
      <w:r>
        <w:rPr>
          <w:rFonts w:ascii="Calibri" w:hAnsi="Calibri" w:cs="Calibri"/>
        </w:rPr>
        <w:t>osoby fizyczne. Przesłanką dla stwierdzenia powiązania będzie w tym przypadku faktyczne</w:t>
      </w:r>
      <w:r w:rsidR="007B01A8">
        <w:rPr>
          <w:rFonts w:ascii="Calibri" w:hAnsi="Calibri" w:cs="Calibri"/>
        </w:rPr>
        <w:t xml:space="preserve"> </w:t>
      </w:r>
      <w:r>
        <w:rPr>
          <w:rFonts w:ascii="Calibri" w:hAnsi="Calibri" w:cs="Calibri"/>
        </w:rPr>
        <w:t>funkcjonowanie na rynku jako jedna jednostka gospodarcza, złożona z podmiotów formalnie od siebie</w:t>
      </w:r>
    </w:p>
    <w:p w14:paraId="376732A1" w14:textId="22A48E32"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odrębnych.</w:t>
      </w:r>
    </w:p>
    <w:p w14:paraId="1DEFC7CB" w14:textId="77777777" w:rsidR="007B01A8" w:rsidRDefault="007B01A8" w:rsidP="005B6980">
      <w:pPr>
        <w:autoSpaceDE w:val="0"/>
        <w:autoSpaceDN w:val="0"/>
        <w:adjustRightInd w:val="0"/>
        <w:spacing w:after="0" w:line="240" w:lineRule="auto"/>
        <w:jc w:val="both"/>
        <w:rPr>
          <w:rFonts w:ascii="Calibri" w:hAnsi="Calibri" w:cs="Calibri"/>
        </w:rPr>
      </w:pPr>
    </w:p>
    <w:p w14:paraId="0D0E1CFD" w14:textId="77777777" w:rsidR="005B6980" w:rsidRDefault="005B6980" w:rsidP="005B6980">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Przedsiębiorstwa partnerskie</w:t>
      </w:r>
    </w:p>
    <w:p w14:paraId="717AC8DC" w14:textId="77777777"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Nie ma znaczenia okoliczność czy to Wnioskodawca posiada udziały w innym przedsiębiorstwie czy też</w:t>
      </w:r>
    </w:p>
    <w:p w14:paraId="046E30FD" w14:textId="48D05E93"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to inne przedsiębiorstwo posiada udziały w przedsiębiorstwie Wnioskodawcy, nieistotnym, dla</w:t>
      </w:r>
      <w:r w:rsidR="007B01A8">
        <w:rPr>
          <w:rFonts w:ascii="Calibri" w:hAnsi="Calibri" w:cs="Calibri"/>
        </w:rPr>
        <w:t xml:space="preserve"> </w:t>
      </w:r>
      <w:r>
        <w:rPr>
          <w:rFonts w:ascii="Calibri" w:hAnsi="Calibri" w:cs="Calibri"/>
        </w:rPr>
        <w:t>stwierdzenia relacji o charakterze partnerskim, pozostaje zatem „kierunek” zachodzącego</w:t>
      </w:r>
      <w:r w:rsidR="007B01A8">
        <w:rPr>
          <w:rFonts w:ascii="Calibri" w:hAnsi="Calibri" w:cs="Calibri"/>
        </w:rPr>
        <w:t xml:space="preserve"> </w:t>
      </w:r>
      <w:r>
        <w:rPr>
          <w:rFonts w:ascii="Calibri" w:hAnsi="Calibri" w:cs="Calibri"/>
        </w:rPr>
        <w:t>partnerstwa.</w:t>
      </w:r>
    </w:p>
    <w:p w14:paraId="6AC7B314" w14:textId="77777777" w:rsidR="005B6980" w:rsidRDefault="005B6980" w:rsidP="005B6980">
      <w:pPr>
        <w:autoSpaceDE w:val="0"/>
        <w:autoSpaceDN w:val="0"/>
        <w:adjustRightInd w:val="0"/>
        <w:spacing w:after="0" w:line="240" w:lineRule="auto"/>
        <w:jc w:val="both"/>
        <w:rPr>
          <w:rFonts w:ascii="Calibri" w:hAnsi="Calibri" w:cs="Calibri"/>
        </w:rPr>
      </w:pPr>
    </w:p>
    <w:p w14:paraId="79434C86" w14:textId="25DBA652" w:rsidR="00357476" w:rsidRDefault="00357476" w:rsidP="007B01A8">
      <w:pPr>
        <w:autoSpaceDE w:val="0"/>
        <w:autoSpaceDN w:val="0"/>
        <w:adjustRightInd w:val="0"/>
        <w:spacing w:after="0" w:line="240" w:lineRule="auto"/>
        <w:jc w:val="both"/>
        <w:rPr>
          <w:rFonts w:ascii="Calibri" w:hAnsi="Calibri" w:cs="Calibri"/>
        </w:rPr>
      </w:pPr>
    </w:p>
    <w:p w14:paraId="76885228" w14:textId="66C4B57A" w:rsidR="00357476" w:rsidRDefault="00357476" w:rsidP="007B01A8">
      <w:pPr>
        <w:autoSpaceDE w:val="0"/>
        <w:autoSpaceDN w:val="0"/>
        <w:adjustRightInd w:val="0"/>
        <w:spacing w:after="0" w:line="240" w:lineRule="auto"/>
        <w:jc w:val="both"/>
        <w:rPr>
          <w:rFonts w:ascii="Calibri" w:hAnsi="Calibri" w:cs="Calibri"/>
        </w:rPr>
      </w:pPr>
    </w:p>
    <w:p w14:paraId="17738FE7" w14:textId="47644A76" w:rsidR="00357476" w:rsidRDefault="00357476" w:rsidP="007B01A8">
      <w:pPr>
        <w:autoSpaceDE w:val="0"/>
        <w:autoSpaceDN w:val="0"/>
        <w:adjustRightInd w:val="0"/>
        <w:spacing w:after="0" w:line="240" w:lineRule="auto"/>
        <w:jc w:val="both"/>
        <w:rPr>
          <w:rFonts w:ascii="Calibri" w:hAnsi="Calibri" w:cs="Calibri"/>
        </w:rPr>
      </w:pPr>
    </w:p>
    <w:sectPr w:rsidR="0035747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E4B1F" w14:textId="77777777" w:rsidR="00B3449A" w:rsidRDefault="00B3449A" w:rsidP="00CB6FEE">
      <w:pPr>
        <w:spacing w:after="0" w:line="240" w:lineRule="auto"/>
      </w:pPr>
      <w:r>
        <w:separator/>
      </w:r>
    </w:p>
  </w:endnote>
  <w:endnote w:type="continuationSeparator" w:id="0">
    <w:p w14:paraId="7D8A2AF4" w14:textId="77777777" w:rsidR="00B3449A" w:rsidRDefault="00B3449A" w:rsidP="00CB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EE"/>
    <w:family w:val="auto"/>
    <w:notTrueType/>
    <w:pitch w:val="default"/>
    <w:sig w:usb0="00000005" w:usb1="00000000" w:usb2="00000000" w:usb3="00000000" w:csb0="00000002"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9E019" w14:textId="77777777" w:rsidR="00CB6FEE" w:rsidRPr="00CB6FEE" w:rsidRDefault="00CB6FEE" w:rsidP="00CB6FEE">
    <w:pPr>
      <w:tabs>
        <w:tab w:val="center" w:pos="4536"/>
        <w:tab w:val="right" w:pos="9072"/>
      </w:tabs>
      <w:spacing w:after="0" w:line="240" w:lineRule="auto"/>
      <w:jc w:val="center"/>
      <w:rPr>
        <w:rFonts w:ascii="Times New Roman" w:eastAsia="Times New Roman" w:hAnsi="Times New Roman" w:cs="Times New Roman"/>
        <w:i/>
        <w:sz w:val="24"/>
        <w:szCs w:val="24"/>
        <w:lang w:eastAsia="pl-PL"/>
      </w:rPr>
    </w:pPr>
    <w:r w:rsidRPr="00CB6FEE">
      <w:rPr>
        <w:rFonts w:ascii="Times New Roman" w:eastAsia="Times New Roman" w:hAnsi="Times New Roman" w:cs="Times New Roman"/>
        <w:i/>
        <w:sz w:val="16"/>
        <w:szCs w:val="16"/>
        <w:lang w:eastAsia="pl-PL"/>
      </w:rPr>
      <w:t>Projekt współfinansowany  przez Unię Europejską w ramach  Europejskiego Funduszu Rozwoju Regionalnego</w:t>
    </w:r>
  </w:p>
  <w:p w14:paraId="3F072581" w14:textId="100C2162" w:rsidR="00CB6FEE" w:rsidRPr="00CB6FEE" w:rsidRDefault="00CB6FEE" w:rsidP="00CB6FEE">
    <w:pPr>
      <w:tabs>
        <w:tab w:val="center" w:pos="4536"/>
        <w:tab w:val="right" w:pos="9072"/>
      </w:tabs>
      <w:spacing w:after="0" w:line="240" w:lineRule="auto"/>
      <w:rPr>
        <w:rFonts w:ascii="Times New Roman" w:eastAsia="Times New Roman" w:hAnsi="Times New Roman" w:cs="Times New Roman"/>
        <w:sz w:val="16"/>
        <w:szCs w:val="24"/>
        <w:lang w:eastAsia="pl-PL"/>
      </w:rPr>
    </w:pPr>
    <w:r w:rsidRPr="00CB6FEE">
      <w:rPr>
        <w:rFonts w:ascii="Times New Roman" w:eastAsia="Times New Roman" w:hAnsi="Times New Roman" w:cs="Times New Roman"/>
        <w:noProof/>
        <w:sz w:val="24"/>
        <w:szCs w:val="24"/>
        <w:lang w:eastAsia="pl-PL"/>
      </w:rPr>
      <mc:AlternateContent>
        <mc:Choice Requires="wps">
          <w:drawing>
            <wp:anchor distT="4294967292" distB="4294967292" distL="114300" distR="114300" simplePos="0" relativeHeight="251659264" behindDoc="0" locked="0" layoutInCell="1" allowOverlap="1" wp14:anchorId="1E06885B" wp14:editId="4789E467">
              <wp:simplePos x="0" y="0"/>
              <wp:positionH relativeFrom="column">
                <wp:posOffset>652780</wp:posOffset>
              </wp:positionH>
              <wp:positionV relativeFrom="paragraph">
                <wp:posOffset>45084</wp:posOffset>
              </wp:positionV>
              <wp:extent cx="4438650" cy="0"/>
              <wp:effectExtent l="0" t="0" r="0" b="0"/>
              <wp:wrapNone/>
              <wp:docPr id="13" name="Łącznik prost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4386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73F4394" id="Łącznik prosty 13"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51.4pt,3.55pt" to="400.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k53wEAAJcDAAAOAAAAZHJzL2Uyb0RvYy54bWysU8tu2zAQvBfoPxC813KcOEgFyznESC9B&#10;ayBp7xuKlIjwBS5rSb310D9r/6tL2nGS5hZUB4LkkMPZmdXqcrSG7WRE7V3DT2ZzzqQTvtWua/jX&#10;u+sPF5xhAteC8U42fJLIL9fv362GUMuF771pZWRE4rAeQsP7lEJdVSh6aQFnPkhHoPLRQqJl7Ko2&#10;wkDs1lSL+fy8GnxsQ/RCItLuZg/ydeFXSor0RSmUiZmGk7ZUxljG+zxW6xXUXYTQa3GQAW9QYUE7&#10;evRItYEE7HvUr6isFtGjV2kmvK28UlrIUgNVczL/p5rbHoIstZA5GI424f+jFZ9328h0S9mdcubA&#10;UkZ/fv7+JX44/cDIWEwTI4h8GgLWdPzKbWOuVIzuNtx48YCEVS/AvMCwPzaqaJkyOnyjJ4pFVDQb&#10;SwLTMQE5JiZo8+zs9OJ8SUGJR6yCOlPkF0PE9El6S7KQgjTaZXOght0Npizi6Ujedv5aG1MCNo4N&#10;Df+4XCyJGajNlIFEUxuocHQdZ2A66l+RYmFEb3Sbb2cenPDKRLYDaiHqvNYPdySXMwOYCKAaypct&#10;IgUvrmahG8B+f7lAh2PGZWpZOvSg/sm1PLv37bSNj9ZS+oX90Km5vZ6vaf78f1r/BQAA//8DAFBL&#10;AwQUAAYACAAAACEA97l+XNcAAAAHAQAADwAAAGRycy9kb3ducmV2LnhtbEyOwUrEMBRF94L/EJ7g&#10;zklaUMfadHBEwZ20+gGvTWyLyUtpMtPq1/t04ywP93LvKXerd+Jo5zgG0pBtFAhLXTAj9Rre356v&#10;tiBiQjLoAlkNXzbCrjo/K7EwYaHaHpvUCx6hWKCGIaWpkDJ2g/UYN2GyxNlHmD0mxrmXZsaFx72T&#10;uVI30uNI/DDgZB8H2302B69heb2ra1Tu5Ttbm/Ypl/tA13utLy/Wh3sQya7pvwy/+qwOFTu14UAm&#10;CsesclZPGm4zEJxvVcbc/rGsSnnqX/0AAAD//wMAUEsBAi0AFAAGAAgAAAAhALaDOJL+AAAA4QEA&#10;ABMAAAAAAAAAAAAAAAAAAAAAAFtDb250ZW50X1R5cGVzXS54bWxQSwECLQAUAAYACAAAACEAOP0h&#10;/9YAAACUAQAACwAAAAAAAAAAAAAAAAAvAQAAX3JlbHMvLnJlbHNQSwECLQAUAAYACAAAACEAjk45&#10;Od8BAACXAwAADgAAAAAAAAAAAAAAAAAuAgAAZHJzL2Uyb0RvYy54bWxQSwECLQAUAAYACAAAACEA&#10;97l+XNcAAAAHAQAADwAAAAAAAAAAAAAAAAA5BAAAZHJzL2Rvd25yZXYueG1sUEsFBgAAAAAEAAQA&#10;8wAAAD0FAAAAAA==&#10;" strokecolor="windowText">
              <o:lock v:ext="edit" shapetype="f"/>
            </v:line>
          </w:pict>
        </mc:Fallback>
      </mc:AlternateContent>
    </w:r>
  </w:p>
  <w:p w14:paraId="10369A9C" w14:textId="77777777" w:rsidR="00CB6FEE" w:rsidRPr="00CB6FEE" w:rsidRDefault="00CB6FEE" w:rsidP="00CB6FEE">
    <w:pPr>
      <w:tabs>
        <w:tab w:val="center" w:pos="4536"/>
        <w:tab w:val="right" w:pos="9072"/>
      </w:tabs>
      <w:spacing w:after="0" w:line="240" w:lineRule="auto"/>
      <w:jc w:val="center"/>
      <w:rPr>
        <w:rFonts w:ascii="Times New Roman" w:eastAsia="Times New Roman" w:hAnsi="Times New Roman" w:cs="Times New Roman"/>
        <w:sz w:val="16"/>
        <w:szCs w:val="24"/>
        <w:lang w:eastAsia="pl-PL"/>
      </w:rPr>
    </w:pPr>
    <w:r w:rsidRPr="00CB6FEE">
      <w:rPr>
        <w:rFonts w:ascii="Times New Roman" w:eastAsia="Times New Roman" w:hAnsi="Times New Roman" w:cs="Times New Roman"/>
        <w:sz w:val="16"/>
        <w:szCs w:val="24"/>
        <w:lang w:eastAsia="pl-PL"/>
      </w:rPr>
      <w:t>Opolskie Centrum Rozwoju Gospodarki  ul. Krakowska 38, 45-075 Opole , tel. 77 40 33 600</w:t>
    </w:r>
  </w:p>
  <w:p w14:paraId="19D616DC" w14:textId="77777777" w:rsidR="00CB6FEE" w:rsidRPr="00CB6FEE" w:rsidRDefault="00CB6FEE" w:rsidP="00CB6FEE">
    <w:pPr>
      <w:tabs>
        <w:tab w:val="left" w:pos="952"/>
        <w:tab w:val="center" w:pos="4536"/>
        <w:tab w:val="right" w:pos="9072"/>
      </w:tabs>
      <w:spacing w:after="0" w:line="240" w:lineRule="auto"/>
      <w:rPr>
        <w:rFonts w:ascii="Times New Roman" w:eastAsia="Times New Roman" w:hAnsi="Times New Roman" w:cs="Times New Roman"/>
        <w:sz w:val="16"/>
        <w:szCs w:val="24"/>
        <w:lang w:eastAsia="pl-PL"/>
      </w:rPr>
    </w:pPr>
    <w:r w:rsidRPr="00CB6FEE">
      <w:rPr>
        <w:rFonts w:ascii="Times New Roman" w:eastAsia="Times New Roman" w:hAnsi="Times New Roman" w:cs="Times New Roman"/>
        <w:sz w:val="16"/>
        <w:szCs w:val="24"/>
        <w:lang w:eastAsia="pl-PL"/>
      </w:rPr>
      <w:tab/>
    </w:r>
    <w:r w:rsidRPr="00CB6FEE">
      <w:rPr>
        <w:rFonts w:ascii="Times New Roman" w:eastAsia="Times New Roman" w:hAnsi="Times New Roman" w:cs="Times New Roman"/>
        <w:sz w:val="16"/>
        <w:szCs w:val="24"/>
        <w:lang w:eastAsia="pl-PL"/>
      </w:rPr>
      <w:tab/>
      <w:t>www.ocrg.opolskie.pl</w:t>
    </w:r>
  </w:p>
  <w:p w14:paraId="289C1FAD" w14:textId="77777777" w:rsidR="00CB6FEE" w:rsidRDefault="00CB6F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F1C2B" w14:textId="77777777" w:rsidR="00B3449A" w:rsidRDefault="00B3449A" w:rsidP="00CB6FEE">
      <w:pPr>
        <w:spacing w:after="0" w:line="240" w:lineRule="auto"/>
      </w:pPr>
      <w:r>
        <w:separator/>
      </w:r>
    </w:p>
  </w:footnote>
  <w:footnote w:type="continuationSeparator" w:id="0">
    <w:p w14:paraId="509D85F2" w14:textId="77777777" w:rsidR="00B3449A" w:rsidRDefault="00B3449A" w:rsidP="00CB6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AED8B" w14:textId="1AB88A1B" w:rsidR="00CB6FEE" w:rsidRDefault="00CB6FEE">
    <w:pPr>
      <w:pStyle w:val="Nagwek"/>
    </w:pPr>
    <w:r>
      <w:rPr>
        <w:noProof/>
        <w:lang w:eastAsia="pl-PL"/>
      </w:rPr>
      <w:drawing>
        <wp:inline distT="0" distB="0" distL="0" distR="0" wp14:anchorId="0EDD645F" wp14:editId="27E6EDB5">
          <wp:extent cx="5760720" cy="56642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64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20FC"/>
    <w:multiLevelType w:val="hybridMultilevel"/>
    <w:tmpl w:val="BE22CD4E"/>
    <w:lvl w:ilvl="0" w:tplc="28BCF6B6">
      <w:start w:val="1"/>
      <w:numFmt w:val="lowerLetter"/>
      <w:lvlText w:val="%1)"/>
      <w:lvlJc w:val="left"/>
      <w:pPr>
        <w:tabs>
          <w:tab w:val="num" w:pos="720"/>
        </w:tabs>
        <w:ind w:left="720" w:hanging="360"/>
      </w:pPr>
    </w:lvl>
    <w:lvl w:ilvl="1" w:tplc="48CC2B9E">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8B91D34"/>
    <w:multiLevelType w:val="hybridMultilevel"/>
    <w:tmpl w:val="238C1BF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F0254D2"/>
    <w:multiLevelType w:val="hybridMultilevel"/>
    <w:tmpl w:val="40988B58"/>
    <w:lvl w:ilvl="0" w:tplc="57F4A5E2">
      <w:start w:val="1"/>
      <w:numFmt w:val="lowerLetter"/>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0821C12"/>
    <w:multiLevelType w:val="hybridMultilevel"/>
    <w:tmpl w:val="1152D1DC"/>
    <w:lvl w:ilvl="0" w:tplc="17FC9CF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1A275C"/>
    <w:multiLevelType w:val="hybridMultilevel"/>
    <w:tmpl w:val="8490FBBA"/>
    <w:lvl w:ilvl="0" w:tplc="0C58CE08">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3FA85C79"/>
    <w:multiLevelType w:val="hybridMultilevel"/>
    <w:tmpl w:val="97C83E34"/>
    <w:lvl w:ilvl="0" w:tplc="DDB2B2F2">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7307F6"/>
    <w:multiLevelType w:val="hybridMultilevel"/>
    <w:tmpl w:val="1B04EA66"/>
    <w:lvl w:ilvl="0" w:tplc="48CC2B9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411FB8"/>
    <w:multiLevelType w:val="hybridMultilevel"/>
    <w:tmpl w:val="D62251DC"/>
    <w:lvl w:ilvl="0" w:tplc="74F2CFC8">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77BA6468"/>
    <w:multiLevelType w:val="hybridMultilevel"/>
    <w:tmpl w:val="55FE8938"/>
    <w:lvl w:ilvl="0" w:tplc="DDB2B2F2">
      <w:start w:val="1"/>
      <w:numFmt w:val="bullet"/>
      <w:lvlText w:val=""/>
      <w:lvlJc w:val="left"/>
      <w:pPr>
        <w:tabs>
          <w:tab w:val="num" w:pos="720"/>
        </w:tabs>
        <w:ind w:left="720" w:hanging="360"/>
      </w:pPr>
      <w:rPr>
        <w:rFonts w:ascii="Symbol" w:hAnsi="Symbol" w:hint="default"/>
      </w:rPr>
    </w:lvl>
    <w:lvl w:ilvl="1" w:tplc="CA92CA4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7AD04A45"/>
    <w:multiLevelType w:val="hybridMultilevel"/>
    <w:tmpl w:val="17BABD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06D"/>
    <w:rsid w:val="00030FFD"/>
    <w:rsid w:val="00043A5E"/>
    <w:rsid w:val="0008458F"/>
    <w:rsid w:val="001209F7"/>
    <w:rsid w:val="001923B7"/>
    <w:rsid w:val="00267A05"/>
    <w:rsid w:val="002D70A3"/>
    <w:rsid w:val="002F1C9C"/>
    <w:rsid w:val="00357476"/>
    <w:rsid w:val="003A481A"/>
    <w:rsid w:val="003B0FEE"/>
    <w:rsid w:val="00442852"/>
    <w:rsid w:val="00461422"/>
    <w:rsid w:val="004813C3"/>
    <w:rsid w:val="004E09F6"/>
    <w:rsid w:val="00517AEE"/>
    <w:rsid w:val="0052549E"/>
    <w:rsid w:val="00551DC6"/>
    <w:rsid w:val="00585466"/>
    <w:rsid w:val="005A6051"/>
    <w:rsid w:val="005B6980"/>
    <w:rsid w:val="005D0140"/>
    <w:rsid w:val="005E0695"/>
    <w:rsid w:val="005F4FAF"/>
    <w:rsid w:val="0060535E"/>
    <w:rsid w:val="006756BE"/>
    <w:rsid w:val="006854DA"/>
    <w:rsid w:val="00694CDF"/>
    <w:rsid w:val="006E442E"/>
    <w:rsid w:val="00744BEA"/>
    <w:rsid w:val="00767AC9"/>
    <w:rsid w:val="00796815"/>
    <w:rsid w:val="007B01A8"/>
    <w:rsid w:val="007B2439"/>
    <w:rsid w:val="007C1B7A"/>
    <w:rsid w:val="007C296E"/>
    <w:rsid w:val="00827335"/>
    <w:rsid w:val="00837FF7"/>
    <w:rsid w:val="00876D9C"/>
    <w:rsid w:val="00880E37"/>
    <w:rsid w:val="0089407B"/>
    <w:rsid w:val="008E629D"/>
    <w:rsid w:val="00925F65"/>
    <w:rsid w:val="00947314"/>
    <w:rsid w:val="009520F0"/>
    <w:rsid w:val="00970DD2"/>
    <w:rsid w:val="00974EC0"/>
    <w:rsid w:val="00984C35"/>
    <w:rsid w:val="009A1CF4"/>
    <w:rsid w:val="009D006D"/>
    <w:rsid w:val="009F65DF"/>
    <w:rsid w:val="00A55F8D"/>
    <w:rsid w:val="00A83DBF"/>
    <w:rsid w:val="00AA169E"/>
    <w:rsid w:val="00AC6B6C"/>
    <w:rsid w:val="00B24AA3"/>
    <w:rsid w:val="00B3449A"/>
    <w:rsid w:val="00B500DA"/>
    <w:rsid w:val="00B67A5A"/>
    <w:rsid w:val="00B84A89"/>
    <w:rsid w:val="00BC7D96"/>
    <w:rsid w:val="00C2491E"/>
    <w:rsid w:val="00C763F0"/>
    <w:rsid w:val="00C9335D"/>
    <w:rsid w:val="00C94EAD"/>
    <w:rsid w:val="00C964C0"/>
    <w:rsid w:val="00C96F61"/>
    <w:rsid w:val="00CB6FEE"/>
    <w:rsid w:val="00D62416"/>
    <w:rsid w:val="00D74FB2"/>
    <w:rsid w:val="00E853E6"/>
    <w:rsid w:val="00EA69B4"/>
    <w:rsid w:val="00ED61F4"/>
    <w:rsid w:val="00F12517"/>
    <w:rsid w:val="00F321D6"/>
    <w:rsid w:val="00F9451D"/>
    <w:rsid w:val="00F94A69"/>
    <w:rsid w:val="00FA08E2"/>
    <w:rsid w:val="00FA2E07"/>
    <w:rsid w:val="00FF1397"/>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4EAEC"/>
  <w15:chartTrackingRefBased/>
  <w15:docId w15:val="{BEDF23F0-1385-4777-B4DA-F50B5C21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61F4"/>
    <w:pPr>
      <w:ind w:left="720"/>
      <w:contextualSpacing/>
    </w:pPr>
  </w:style>
  <w:style w:type="paragraph" w:styleId="Nagwek">
    <w:name w:val="header"/>
    <w:basedOn w:val="Normalny"/>
    <w:link w:val="NagwekZnak"/>
    <w:uiPriority w:val="99"/>
    <w:unhideWhenUsed/>
    <w:rsid w:val="00CB6F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6FEE"/>
  </w:style>
  <w:style w:type="paragraph" w:styleId="Stopka">
    <w:name w:val="footer"/>
    <w:basedOn w:val="Normalny"/>
    <w:link w:val="StopkaZnak"/>
    <w:uiPriority w:val="99"/>
    <w:unhideWhenUsed/>
    <w:rsid w:val="00CB6F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6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56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1801</Words>
  <Characters>10809</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Gliński</dc:creator>
  <cp:keywords/>
  <dc:description/>
  <cp:lastModifiedBy>Katarzyna Kownacka</cp:lastModifiedBy>
  <cp:revision>2</cp:revision>
  <cp:lastPrinted>2020-06-09T12:01:00Z</cp:lastPrinted>
  <dcterms:created xsi:type="dcterms:W3CDTF">2020-09-29T11:46:00Z</dcterms:created>
  <dcterms:modified xsi:type="dcterms:W3CDTF">2020-09-29T11:46:00Z</dcterms:modified>
</cp:coreProperties>
</file>